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937E" w14:textId="77777777" w:rsidR="00011669" w:rsidRPr="004C4F56" w:rsidRDefault="00011669" w:rsidP="004C4F56">
      <w:pPr>
        <w:tabs>
          <w:tab w:val="left" w:pos="1335"/>
        </w:tabs>
        <w:spacing w:before="120" w:after="120" w:line="264" w:lineRule="auto"/>
        <w:ind w:firstLine="720"/>
        <w:jc w:val="both"/>
        <w:rPr>
          <w:i/>
          <w:sz w:val="24"/>
          <w:szCs w:val="24"/>
          <w:lang w:val="sv-SE"/>
        </w:rPr>
      </w:pPr>
    </w:p>
    <w:p w14:paraId="6AF81ECA" w14:textId="77777777" w:rsidR="00011669" w:rsidRPr="004C4F56" w:rsidRDefault="00DD5C16" w:rsidP="004C4F56">
      <w:pPr>
        <w:tabs>
          <w:tab w:val="left" w:pos="1335"/>
        </w:tabs>
        <w:spacing w:before="120" w:after="120" w:line="264" w:lineRule="auto"/>
        <w:ind w:firstLine="720"/>
        <w:jc w:val="both"/>
        <w:rPr>
          <w:b/>
          <w:sz w:val="24"/>
          <w:szCs w:val="24"/>
          <w:lang w:val="sv-SE"/>
        </w:rPr>
      </w:pPr>
      <w:r w:rsidRPr="004C4F56">
        <w:rPr>
          <w:b/>
          <w:sz w:val="24"/>
          <w:szCs w:val="24"/>
          <w:lang w:val="sv-SE"/>
        </w:rPr>
        <w:t>GIỚI THIỆU CHƯƠNG XXVII BỘ LUẬT DÂN SỰ 2015 – PHÁP LUẬT ÁP DỤNG ĐỐI VỚI QUAN HỆ TÀI SẢN, QUAN HỆ NHÂN THÂN</w:t>
      </w:r>
    </w:p>
    <w:p w14:paraId="442EDE6A" w14:textId="4D9D7B1C" w:rsidR="003629BA" w:rsidRPr="004C4F56" w:rsidRDefault="00FD0FE6" w:rsidP="004C4F56">
      <w:pPr>
        <w:tabs>
          <w:tab w:val="left" w:pos="1335"/>
        </w:tabs>
        <w:spacing w:before="120" w:after="120" w:line="264" w:lineRule="auto"/>
        <w:ind w:firstLine="720"/>
        <w:jc w:val="both"/>
        <w:rPr>
          <w:sz w:val="24"/>
          <w:szCs w:val="24"/>
          <w:lang w:val="sv-SE"/>
        </w:rPr>
      </w:pPr>
      <w:r w:rsidRPr="004C4F56">
        <w:rPr>
          <w:sz w:val="24"/>
          <w:szCs w:val="24"/>
          <w:lang w:val="sv-SE"/>
        </w:rPr>
        <w:t xml:space="preserve">Một điểm mới về kết cấu của Phần 5 Bộ luật dân sự 2015 so với Bộ luật dân sự 2005 đó là việc nhóm các quy định thành các các Chương, theo đó các quy định điều chỉnh quan hệ tài sản, quan hệ nhân thân có yếu tố nước ngoài đã có nhiều sửa đổi đảm bảo phù hợp với các quy định tương ứng tại </w:t>
      </w:r>
      <w:r w:rsidR="009F56E5" w:rsidRPr="004C4F56">
        <w:rPr>
          <w:sz w:val="24"/>
          <w:szCs w:val="24"/>
          <w:lang w:val="sv-SE"/>
        </w:rPr>
        <w:t xml:space="preserve">các phần khác của Bộ luật dân sự 2015 cũng như chuẩn mực của tư pháp quốc tế </w:t>
      </w:r>
    </w:p>
    <w:p w14:paraId="4BC2194D" w14:textId="713356FE" w:rsidR="00011669" w:rsidRPr="004C4F56" w:rsidRDefault="009F56E5" w:rsidP="004C4F56">
      <w:pPr>
        <w:tabs>
          <w:tab w:val="left" w:pos="1335"/>
        </w:tabs>
        <w:spacing w:before="120" w:after="120" w:line="264" w:lineRule="auto"/>
        <w:ind w:firstLine="720"/>
        <w:jc w:val="both"/>
        <w:rPr>
          <w:b/>
          <w:sz w:val="24"/>
          <w:szCs w:val="24"/>
          <w:lang w:val="sv-SE"/>
        </w:rPr>
      </w:pPr>
      <w:r w:rsidRPr="004C4F56">
        <w:rPr>
          <w:b/>
          <w:sz w:val="24"/>
          <w:szCs w:val="24"/>
          <w:lang w:val="sv-SE"/>
        </w:rPr>
        <w:t>1</w:t>
      </w:r>
      <w:r w:rsidR="00011669" w:rsidRPr="004C4F56">
        <w:rPr>
          <w:b/>
          <w:sz w:val="24"/>
          <w:szCs w:val="24"/>
          <w:lang w:val="sv-SE"/>
        </w:rPr>
        <w:t>) Về phân loại tài sản</w:t>
      </w:r>
    </w:p>
    <w:p w14:paraId="0C611752"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0" w:name="dieu_677"/>
      <w:r w:rsidRPr="004C4F56">
        <w:rPr>
          <w:b/>
          <w:bCs/>
          <w:i/>
          <w:color w:val="000000"/>
        </w:rPr>
        <w:t>Điều 677. Phân loại tài sản</w:t>
      </w:r>
      <w:bookmarkEnd w:id="0"/>
    </w:p>
    <w:p w14:paraId="55176C29" w14:textId="599D41F6"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Việc phân loại tài sản là động sản, bất động sản được xác định theo pháp luật của nước nơi có tài sản.</w:t>
      </w:r>
    </w:p>
    <w:p w14:paraId="70518ACB" w14:textId="0E771414" w:rsidR="00011669" w:rsidRPr="004C4F56" w:rsidRDefault="009F56E5" w:rsidP="004C4F56">
      <w:pPr>
        <w:tabs>
          <w:tab w:val="left" w:pos="1335"/>
        </w:tabs>
        <w:spacing w:before="120" w:after="120" w:line="264" w:lineRule="auto"/>
        <w:ind w:firstLine="720"/>
        <w:jc w:val="both"/>
        <w:rPr>
          <w:sz w:val="24"/>
          <w:szCs w:val="24"/>
          <w:lang w:val="sv-SE"/>
        </w:rPr>
      </w:pPr>
      <w:r w:rsidRPr="004C4F56">
        <w:rPr>
          <w:sz w:val="24"/>
          <w:szCs w:val="24"/>
          <w:lang w:val="sv-SE"/>
        </w:rPr>
        <w:t xml:space="preserve">Trước đây phân loại tài sản chỉ là một khoản trong Điều 766 "Quyền sở hữu tài sản” của Phần 7 BLDS 2005. Việc tách riêng thành </w:t>
      </w:r>
      <w:r w:rsidR="00011669" w:rsidRPr="004C4F56">
        <w:rPr>
          <w:sz w:val="24"/>
          <w:szCs w:val="24"/>
          <w:lang w:val="sv-SE"/>
        </w:rPr>
        <w:t xml:space="preserve">một điều quy định việc phân loại tài sản vì ngoài quy định về quyền sở hữu tài sản có sự phân biệt động sản và bất động sản, còn có các quy định về thừa kế, hợp đồng cũng có sự phân biệt này. </w:t>
      </w:r>
    </w:p>
    <w:p w14:paraId="03467633" w14:textId="0437D882" w:rsidR="00011669" w:rsidRPr="004C4F56" w:rsidRDefault="006D5CDE" w:rsidP="004C4F56">
      <w:pPr>
        <w:spacing w:before="120" w:after="120" w:line="264" w:lineRule="auto"/>
        <w:ind w:firstLine="720"/>
        <w:jc w:val="both"/>
        <w:rPr>
          <w:b/>
          <w:sz w:val="24"/>
          <w:szCs w:val="24"/>
          <w:lang w:val="sv-SE"/>
        </w:rPr>
      </w:pPr>
      <w:r w:rsidRPr="004C4F56">
        <w:rPr>
          <w:b/>
          <w:sz w:val="24"/>
          <w:szCs w:val="24"/>
          <w:lang w:val="sv-SE"/>
        </w:rPr>
        <w:t>2</w:t>
      </w:r>
      <w:r w:rsidR="00011669" w:rsidRPr="004C4F56">
        <w:rPr>
          <w:b/>
          <w:sz w:val="24"/>
          <w:szCs w:val="24"/>
          <w:lang w:val="sv-SE"/>
        </w:rPr>
        <w:t>) Về quyền sở hữu và quyền khác đối với tài sản</w:t>
      </w:r>
    </w:p>
    <w:p w14:paraId="1702BB9F" w14:textId="77777777" w:rsidR="003629BA" w:rsidRPr="004C4F56" w:rsidRDefault="003629BA" w:rsidP="004C4F56">
      <w:pPr>
        <w:pStyle w:val="NormalWeb"/>
        <w:shd w:val="clear" w:color="auto" w:fill="FFFFFF"/>
        <w:spacing w:before="120" w:beforeAutospacing="0" w:after="120" w:afterAutospacing="0" w:line="234" w:lineRule="atLeast"/>
        <w:ind w:firstLine="720"/>
        <w:jc w:val="both"/>
        <w:rPr>
          <w:i/>
          <w:color w:val="000000"/>
        </w:rPr>
      </w:pPr>
      <w:bookmarkStart w:id="1" w:name="dieu_678"/>
      <w:r w:rsidRPr="004C4F56">
        <w:rPr>
          <w:b/>
          <w:bCs/>
          <w:i/>
          <w:color w:val="000000"/>
        </w:rPr>
        <w:t>Điều 678. Quyền sở hữu và quyền khác đối với tài sản</w:t>
      </w:r>
      <w:bookmarkEnd w:id="1"/>
    </w:p>
    <w:p w14:paraId="5EE4720A" w14:textId="77777777" w:rsidR="003629BA" w:rsidRPr="004C4F56" w:rsidRDefault="003629BA" w:rsidP="004C4F56">
      <w:pPr>
        <w:pStyle w:val="NormalWeb"/>
        <w:shd w:val="clear" w:color="auto" w:fill="FFFFFF"/>
        <w:spacing w:before="120" w:beforeAutospacing="0" w:after="120" w:afterAutospacing="0" w:line="234" w:lineRule="atLeast"/>
        <w:ind w:firstLine="720"/>
        <w:jc w:val="both"/>
        <w:rPr>
          <w:i/>
          <w:color w:val="000000"/>
        </w:rPr>
      </w:pPr>
      <w:r w:rsidRPr="004C4F56">
        <w:rPr>
          <w:i/>
          <w:color w:val="000000"/>
        </w:rPr>
        <w:t>1. Việc xác lập, thực hiện, thay đổi, chấm dứt quyền sở hữu và quyền khác đối với tài sản được xác định theo pháp luật của nước nơi có tài sản, trừ trường hợp quy định tại khoản 2 Điều này.</w:t>
      </w:r>
    </w:p>
    <w:p w14:paraId="3A561EB3" w14:textId="4B9C41E4" w:rsidR="003629BA" w:rsidRPr="004C4F56" w:rsidRDefault="003629BA" w:rsidP="004C4F56">
      <w:pPr>
        <w:pStyle w:val="NormalWeb"/>
        <w:shd w:val="clear" w:color="auto" w:fill="FFFFFF"/>
        <w:spacing w:before="120" w:beforeAutospacing="0" w:after="120" w:afterAutospacing="0" w:line="234" w:lineRule="atLeast"/>
        <w:ind w:firstLine="720"/>
        <w:jc w:val="both"/>
        <w:rPr>
          <w:i/>
          <w:color w:val="000000"/>
        </w:rPr>
      </w:pPr>
      <w:r w:rsidRPr="004C4F56">
        <w:rPr>
          <w:i/>
          <w:color w:val="000000"/>
        </w:rPr>
        <w:t>2. Quyền sở hữu và quyền khác đối với tài sản là động sản trên đường vận chuyển được xác định theo pháp luật của nước nơi động sản được chuyển đến, trừ trường hợp có thỏa thuận khác.</w:t>
      </w:r>
    </w:p>
    <w:p w14:paraId="41313E18"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Phạm vi điều chỉnh của Điều 678 BLDS 2015 được mở rộng để đảm bảo điều chỉnh toàn diện các vật quyền đối với tài sản và phù hợp với các quy định tại Phần thứ hai của BLDS 2015 (Quyền sở hữu và các quyền khác đối với tài sản). Pháp luật áp dụng với quyền sở hữu và quyền khác đối với tài sản là pháp luật nước nơi có tài sản. Trường hợp ngoại lệ không áp dụng pháp luật nước nơi có tài sản là đối với động sản đang trên đường vận chuyển, pháp luật áp dụng là pháp luật do các bên liên quan thỏa thuận hoặc nếu không có thỏa thuận là pháp luật nước nơi động sản được chuyển đến. Điều 766 BLDS 2005 chỉ xác định pháp luật áp dụng đối với quyền sở hữu tài sản mà chưa đề cập đến các quyền khác (các vật quyền: quyền đối với bất động sản liền kề, quyền hưởng dụng, quyền bề mặt) đối với tài sản.</w:t>
      </w:r>
    </w:p>
    <w:p w14:paraId="19280813"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Cần lưu ý phân biệt giữa pháp luật áp dụng với quyền sở hữu và pháp luật áp dụng với hợp đồng chuyển giao quyền sở hữu. Pháp luật áp dụng với hợp đồng chuyển giao quyền sở hữu sẽ điều chỉnh quan hệ giữa các bên trong hợp đồng với nhau. Pháp luật áp dụng với quyền sở hữu sẽ điều chỉnh quan hệ giữa chủ sở hữu và các chủ thể khác không phải chủ sở hữu.</w:t>
      </w:r>
    </w:p>
    <w:p w14:paraId="2FCA73DB"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Ví dụ: Trong hợp đồng dân sự có YTNN, các bên thỏa thuận áp dụng pháp luật của Anh. Pháp luật Anh sẽ điều chỉnh quyền và nghĩa vụ của các bên trong hợp đồng với nhau theo hợp đồng, xác định thời gian, địa điểm mà các bên phải thực hiện nghĩa vụ với nhau trong việc chuyển giao quyền sở hữu theo hợp đồng nếu các bên không thỏa thuận cụ thể... Nếu tài sản là đối tượng của hợp đồng ở Việt Nam, pháp luật áp dụng với quyền sở hữu tài sản này không phải là pháp luật Anh mà là pháp luật Việt Nam. Pháp luật Việt Nam sẽ xác định hợp đồng đó có phải là căn cứ làm phát sinh quyền sở hữu hay không, khi nào thì quyền sở hữu được xác lập trên cơ sở hợp đồng có hiệu lực với người thứ ba không phải là một bên trong hợp đồng (ngay từ thời điểm các bên thỏa thuận trong hợp đồng hay sau khi đã chuyển giao tài sản hoặc làm thủ tục đăng ký)...</w:t>
      </w:r>
    </w:p>
    <w:p w14:paraId="04CB5FD2"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lastRenderedPageBreak/>
        <w:t>Quy định về pháp luật áp dụng với quyền sở hữu và quyền khác đối với tàu bay, tàu biển tại khoản 4 Điều 766 BLDS 2005 được lược bỏ, không cần nhắc lại hay dẫn chiếu thêm trong BLDS 2015 vì đã điều chỉnh tại văn bản pháp luật chuyên ngành.</w:t>
      </w:r>
    </w:p>
    <w:p w14:paraId="0927A4CE" w14:textId="70FCC20A" w:rsidR="00011669" w:rsidRPr="004C4F56" w:rsidRDefault="006D5CDE" w:rsidP="004C4F56">
      <w:pPr>
        <w:spacing w:before="120" w:after="120" w:line="264" w:lineRule="auto"/>
        <w:ind w:firstLine="720"/>
        <w:jc w:val="both"/>
        <w:rPr>
          <w:b/>
          <w:sz w:val="24"/>
          <w:szCs w:val="24"/>
          <w:lang w:val="sv-SE"/>
        </w:rPr>
      </w:pPr>
      <w:r w:rsidRPr="004C4F56">
        <w:rPr>
          <w:b/>
          <w:sz w:val="24"/>
          <w:szCs w:val="24"/>
          <w:lang w:val="sv-SE"/>
        </w:rPr>
        <w:t>3</w:t>
      </w:r>
      <w:r w:rsidR="00011669" w:rsidRPr="004C4F56">
        <w:rPr>
          <w:b/>
          <w:sz w:val="24"/>
          <w:szCs w:val="24"/>
          <w:lang w:val="sv-SE"/>
        </w:rPr>
        <w:t>) Về quyền sở hữu trí tuệ</w:t>
      </w:r>
    </w:p>
    <w:p w14:paraId="323885D8"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2" w:name="dieu_679"/>
      <w:r w:rsidRPr="004C4F56">
        <w:rPr>
          <w:b/>
          <w:bCs/>
          <w:i/>
          <w:color w:val="000000"/>
        </w:rPr>
        <w:t>Điều 679. Quyền sở hữu trí tuệ</w:t>
      </w:r>
      <w:bookmarkEnd w:id="2"/>
    </w:p>
    <w:p w14:paraId="3D736BF0"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Quyền sở hữu trí tuệ được xác định theo pháp luật của nước nơi đối tượng quyền sở hữu trí tuệ được yêu cầu bảo hộ.</w:t>
      </w:r>
    </w:p>
    <w:p w14:paraId="2A1787EF" w14:textId="43F0EFB1" w:rsidR="00BC4588" w:rsidRPr="004C4F56" w:rsidRDefault="00BC4588" w:rsidP="004C4F56">
      <w:pPr>
        <w:pStyle w:val="NormalWeb"/>
        <w:shd w:val="clear" w:color="auto" w:fill="FFFFFF"/>
        <w:spacing w:before="120" w:beforeAutospacing="0" w:after="120" w:afterAutospacing="0" w:line="234" w:lineRule="atLeast"/>
        <w:ind w:firstLine="720"/>
        <w:jc w:val="both"/>
        <w:rPr>
          <w:color w:val="000000"/>
        </w:rPr>
      </w:pPr>
      <w:r w:rsidRPr="004C4F56">
        <w:rPr>
          <w:lang w:val="sv-SE"/>
        </w:rPr>
        <w:t>Điều 774 và 775 BLDS 2005</w:t>
      </w:r>
      <w:r w:rsidRPr="004C4F56">
        <w:rPr>
          <w:lang w:val="sv-SE"/>
        </w:rPr>
        <w:t xml:space="preserve"> chỉ quy định nguyên tắc quyền tác giả yếu tố nước ngoài, quyền sở hữu công nghiệp và quyền đối với giống cây trồng có yếu tố nước ngoài</w:t>
      </w:r>
      <w:r w:rsidR="00BE6ACC" w:rsidRPr="004C4F56">
        <w:rPr>
          <w:lang w:val="sv-SE"/>
        </w:rPr>
        <w:t>; chuyển giao công nghệ có yếu tố nước ngoài</w:t>
      </w:r>
      <w:r w:rsidRPr="004C4F56">
        <w:rPr>
          <w:lang w:val="sv-SE"/>
        </w:rPr>
        <w:t xml:space="preserve"> </w:t>
      </w:r>
      <w:r w:rsidR="00BE6ACC" w:rsidRPr="004C4F56">
        <w:rPr>
          <w:lang w:val="sv-SE"/>
        </w:rPr>
        <w:t xml:space="preserve">được bảo hộ theo pháp luật Việt Nam hoặc điều ước quốc tế mà Việt Nam là thành viên mà không xác định pháp luật áp dụng. </w:t>
      </w:r>
    </w:p>
    <w:p w14:paraId="50EA1813" w14:textId="7F96F180" w:rsidR="00011669" w:rsidRPr="004C4F56" w:rsidRDefault="00BE6ACC" w:rsidP="004C4F56">
      <w:pPr>
        <w:tabs>
          <w:tab w:val="left" w:pos="1335"/>
        </w:tabs>
        <w:spacing w:before="120" w:after="120" w:line="264" w:lineRule="auto"/>
        <w:ind w:firstLine="720"/>
        <w:jc w:val="both"/>
        <w:rPr>
          <w:sz w:val="24"/>
          <w:szCs w:val="24"/>
          <w:lang w:val="sv-SE"/>
        </w:rPr>
      </w:pPr>
      <w:r w:rsidRPr="004C4F56">
        <w:rPr>
          <w:sz w:val="24"/>
          <w:szCs w:val="24"/>
          <w:lang w:val="sv-SE"/>
        </w:rPr>
        <w:t xml:space="preserve">Trên cơ sở tham khảo pháp luật một số nước Trung Quốc, Bỉ, Thụy Sĩ,  </w:t>
      </w:r>
      <w:r w:rsidR="00011669" w:rsidRPr="004C4F56">
        <w:rPr>
          <w:sz w:val="24"/>
          <w:szCs w:val="24"/>
          <w:lang w:val="sv-SE"/>
        </w:rPr>
        <w:t xml:space="preserve">Điều 679 BLDS 2015 </w:t>
      </w:r>
      <w:r w:rsidRPr="004C4F56">
        <w:rPr>
          <w:sz w:val="24"/>
          <w:szCs w:val="24"/>
          <w:lang w:val="sv-SE"/>
        </w:rPr>
        <w:t>đưa ra một</w:t>
      </w:r>
      <w:r w:rsidR="00011669" w:rsidRPr="004C4F56">
        <w:rPr>
          <w:sz w:val="24"/>
          <w:szCs w:val="24"/>
          <w:lang w:val="sv-SE"/>
        </w:rPr>
        <w:t xml:space="preserve"> quy phạm xung đột mới trong</w:t>
      </w:r>
      <w:r w:rsidR="006E70E0" w:rsidRPr="004C4F56">
        <w:rPr>
          <w:sz w:val="24"/>
          <w:szCs w:val="24"/>
          <w:lang w:val="sv-SE"/>
        </w:rPr>
        <w:t xml:space="preserve"> lĩnh vực quyền sở hữu trí tuệ. </w:t>
      </w:r>
      <w:r w:rsidR="00011669" w:rsidRPr="004C4F56">
        <w:rPr>
          <w:sz w:val="24"/>
          <w:szCs w:val="24"/>
          <w:lang w:val="sv-SE"/>
        </w:rPr>
        <w:t xml:space="preserve">Theo đó, pháp luật của nước nơi đối tượng quyền sở hữu trí tuệ được yêu cầu bảo hộ là pháp luật áp dụng đối với quyền sở hữu trí tuệ bao gồm nhưng không giới hạn ở sự tồn tại, hiệu lực, đăng ký, phạm vi và thời hạn bảo hộ quyền. </w:t>
      </w:r>
    </w:p>
    <w:p w14:paraId="3FAA754E" w14:textId="2535E149" w:rsidR="00011669" w:rsidRPr="004C4F56" w:rsidRDefault="006D5CDE" w:rsidP="004C4F56">
      <w:pPr>
        <w:spacing w:before="120" w:after="120" w:line="264" w:lineRule="auto"/>
        <w:ind w:firstLine="720"/>
        <w:jc w:val="both"/>
        <w:rPr>
          <w:b/>
          <w:sz w:val="24"/>
          <w:szCs w:val="24"/>
          <w:lang w:val="sv-SE"/>
        </w:rPr>
      </w:pPr>
      <w:r w:rsidRPr="004C4F56">
        <w:rPr>
          <w:b/>
          <w:sz w:val="24"/>
          <w:szCs w:val="24"/>
          <w:lang w:val="sv-SE"/>
        </w:rPr>
        <w:t>4</w:t>
      </w:r>
      <w:r w:rsidR="00011669" w:rsidRPr="004C4F56">
        <w:rPr>
          <w:b/>
          <w:sz w:val="24"/>
          <w:szCs w:val="24"/>
          <w:lang w:val="sv-SE"/>
        </w:rPr>
        <w:t>) Về thừa kế</w:t>
      </w:r>
    </w:p>
    <w:p w14:paraId="0F4F2166"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3" w:name="dieu_680"/>
      <w:r w:rsidRPr="004C4F56">
        <w:rPr>
          <w:b/>
          <w:bCs/>
          <w:i/>
          <w:color w:val="000000"/>
        </w:rPr>
        <w:t>Điều 680. Thừa kế</w:t>
      </w:r>
      <w:bookmarkEnd w:id="3"/>
    </w:p>
    <w:p w14:paraId="69C0F6E8"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1. Thừa kế được xác định theo pháp luật của nước mà người để lại di sản thừa kế có quốc tịch ngay trước khi chết.</w:t>
      </w:r>
    </w:p>
    <w:p w14:paraId="2ACD0C9B"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2. Việc thực hiện quyền thừa kế đối với bất động sản được xác định theo pháp luật của nước nơi có bất động sản đó.</w:t>
      </w:r>
    </w:p>
    <w:p w14:paraId="09631A77"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Điều 767 BLDS 2005 cũ có quy định về pháp luật áp dụng đối với quan hệ thừa kế theo pháp luật có YTNN và Điều 768 BLDS quy định về thừa kế theo di chúc. Tuy nhiên, có nhiều vấn đề chung giữa thừa kế theo pháp luật và thừa kế theo di chúc như xác định phạm vi di sản thừa kế, người thừa kế, quản lý di sản thừa kế... Do đó, để đảm bảo điều chỉnh toàn diện các vấn đề về thừa kế, BLDS 2015 đã xác định nguyên tắc chung về pháp luật áp dụng cho thừa kế tại Điều 680, theo đó thừa kế được xác định theo pháp luật của nước mà người để lại di sản thừa kế có quốc tịch ngay trước khi chết. Toàn bộ quan hệ thừa kế sẽ được điều chỉnh bởi pháp luật này kể cả vấn đề di sản không có người thừa kế. Pháp luật áp dụng với di chúc được quy định trong điều khoản riêng.</w:t>
      </w:r>
    </w:p>
    <w:p w14:paraId="39FAF4A3"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Khoản 2 của Điều này quy định về pháp luật áp dụng đối với việc thực hiện quyền thừa kế đối với bất động sản là pháp luật của nước nơi có bất động sản đó. Như vậy, toàn bộ quan hệ thừa kế (người được hưởng thừa kế, phạm vi di sản thừa kế, chia thừa kế...) vẫn được điều chỉnh theo quy định của khoản 1 Điều 680 theo pháp luật của nước mà người để lại di sản thừa kế có quốc tịch ngay trước khi chết. Sau khi quan hệ thừa kế đã được giải quyết, việc thực hiện quyền thừa kế đối với bất động sản (ví dụ: thực hiện các thủ tục đăng ký để xác lập quyền sở hữu của người thừa kế) mới giải quyết theo pháp luật của nước nơi có bất động sản là di sản thừa kế.</w:t>
      </w:r>
    </w:p>
    <w:p w14:paraId="6B87EDE6" w14:textId="552068E2" w:rsidR="00011669" w:rsidRPr="004C4F56" w:rsidRDefault="006D5CDE" w:rsidP="004C4F56">
      <w:pPr>
        <w:spacing w:before="120" w:after="120" w:line="264" w:lineRule="auto"/>
        <w:ind w:firstLine="720"/>
        <w:jc w:val="both"/>
        <w:rPr>
          <w:b/>
          <w:sz w:val="24"/>
          <w:szCs w:val="24"/>
          <w:lang w:val="sv-SE"/>
        </w:rPr>
      </w:pPr>
      <w:r w:rsidRPr="004C4F56">
        <w:rPr>
          <w:b/>
          <w:sz w:val="24"/>
          <w:szCs w:val="24"/>
          <w:lang w:val="sv-SE"/>
        </w:rPr>
        <w:t>5</w:t>
      </w:r>
      <w:r w:rsidR="00011669" w:rsidRPr="004C4F56">
        <w:rPr>
          <w:b/>
          <w:sz w:val="24"/>
          <w:szCs w:val="24"/>
          <w:lang w:val="sv-SE"/>
        </w:rPr>
        <w:t xml:space="preserve">) Về di chúc </w:t>
      </w:r>
    </w:p>
    <w:p w14:paraId="393483D3"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4" w:name="dieu_681"/>
      <w:r w:rsidRPr="004C4F56">
        <w:rPr>
          <w:b/>
          <w:bCs/>
          <w:i/>
          <w:color w:val="000000"/>
        </w:rPr>
        <w:t>Điều 681. Di chúc</w:t>
      </w:r>
      <w:bookmarkEnd w:id="4"/>
    </w:p>
    <w:p w14:paraId="2EB1F69E"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1. Năng lực lập di chúc, thay đổi hoặc hủy bỏ di chúc được xác định theo pháp luật của nước mà người lập di chúc có quốc tịch tại thời điểm lập, thay đổi hoặc hủy bỏ di chúc.</w:t>
      </w:r>
    </w:p>
    <w:p w14:paraId="7C4ED161"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lastRenderedPageBreak/>
        <w:t>2. Hình thức của di chúc được xác định theo pháp luật của nước nơi di chúc được lập. Hình thức của di chúc cũng được công nhận tại Việt Nam nếu phù hợp với pháp luật của một trong các nước sau đây:</w:t>
      </w:r>
    </w:p>
    <w:p w14:paraId="76C3691A"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a) Nước nơi người lập di chúc cư trú tại thời điểm lập di chúc hoặc tại thời điểm người lập di chúc chết;</w:t>
      </w:r>
    </w:p>
    <w:p w14:paraId="41A3F5D1"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b) Nước nơi người lập di chúc có quốc tịch tại thời điểm lập di chúc hoặc tại thời điểm người lập di chúc chết;</w:t>
      </w:r>
    </w:p>
    <w:p w14:paraId="4A1A3801"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c) Nước nơi có bất động sản nếu di sản thừa kế là bất động sản.</w:t>
      </w:r>
    </w:p>
    <w:p w14:paraId="58BE84D8" w14:textId="77777777" w:rsidR="00011669" w:rsidRPr="004C4F56" w:rsidRDefault="00011669" w:rsidP="004C4F56">
      <w:pPr>
        <w:spacing w:before="120" w:after="120" w:line="264" w:lineRule="auto"/>
        <w:ind w:firstLine="720"/>
        <w:jc w:val="both"/>
        <w:rPr>
          <w:sz w:val="24"/>
          <w:szCs w:val="24"/>
        </w:rPr>
      </w:pPr>
      <w:r w:rsidRPr="004C4F56">
        <w:rPr>
          <w:sz w:val="24"/>
          <w:szCs w:val="24"/>
          <w:lang w:val="sv-SE"/>
        </w:rPr>
        <w:t>Điều khoản này chủ yếu mở rộng các hệ thuộc được áp dụng với hình thức di chúc. Trên thực tế khi lập di chúc, người để lại di sản thừa kế ngoài việc bị tác động bởi pháp luật của nước nơi lập di chúc, còn chịu sự tác động của pháp luật nước người đó có quốc tịch, pháp luật của nước nơi đang cư trú và pháp luật của nước nơi có di sản. Cách quy định hẹp dễ dẫn đến nhiều trường hợp di chúc bị vô hiệu chỉ vì không phù hợp về hình thức. Điều này sẽ gây phức tạp trong việc xử lý hậu quả pháp lý do di chúc vô hiệu, ảnh hưởng đến các quyền và nghĩa vụ của các bên có liên quan. Trên thế giới hiện nay, các nước đều tiếp cận theo hướng quy định nhiều hệ thuộc xác định pháp luật áp dụng đối với hình thức của di chúc để tạo sự linh hoạt, hạn chế việc di chúc vô hiệu do không phù hợp về hình thức. Vì vậy, khoản 2 Điều 681 đã được xây dựng theo hướng tiếp cận phù hợp với thực tiễn quốc tế.</w:t>
      </w:r>
      <w:r w:rsidRPr="004C4F56">
        <w:rPr>
          <w:rStyle w:val="FootnoteReference"/>
          <w:sz w:val="24"/>
          <w:szCs w:val="24"/>
          <w:lang w:val="sv-SE"/>
        </w:rPr>
        <w:footnoteReference w:id="1"/>
      </w:r>
      <w:r w:rsidRPr="004C4F56">
        <w:rPr>
          <w:sz w:val="24"/>
          <w:szCs w:val="24"/>
          <w:lang w:val="sv-SE"/>
        </w:rPr>
        <w:t xml:space="preserve"> Theo đó, h</w:t>
      </w:r>
      <w:r w:rsidRPr="004C4F56">
        <w:rPr>
          <w:sz w:val="24"/>
          <w:szCs w:val="24"/>
        </w:rPr>
        <w:t>ình thức của di chúc được xác định theo pháp luật của nước nơi di chúc được lập, đồng thời dù hình thức của di chúc không phù hợp với pháp luật của nước nơi lập di chúc nhưng cũng vẫn được công nhận tại Việt Nam nếu phù hợp với pháp luật của một trong các nước (i) nơi người lập di chúc cư trú tại thời điểm lập di chúc hoặc tại thời điểm người lập di chúc chết; hoặc (ii) nơi người lập di chúc có quốc tịch tại thời điểm lập di chúc hoặc tại thời điểm người lập di chúc chết; hoặc (iii) nơi có bất động sản nếu di sản thừa kế là bất động sản.</w:t>
      </w:r>
    </w:p>
    <w:p w14:paraId="1FFB28B7" w14:textId="44E379DA" w:rsidR="00011669" w:rsidRPr="004C4F56" w:rsidRDefault="006D5CDE" w:rsidP="004C4F56">
      <w:pPr>
        <w:spacing w:before="120" w:after="120" w:line="264" w:lineRule="auto"/>
        <w:ind w:firstLine="720"/>
        <w:jc w:val="both"/>
        <w:rPr>
          <w:b/>
          <w:sz w:val="24"/>
          <w:szCs w:val="24"/>
          <w:u w:val="single"/>
          <w:lang w:val="sv-SE"/>
        </w:rPr>
      </w:pPr>
      <w:r w:rsidRPr="004C4F56">
        <w:rPr>
          <w:b/>
          <w:spacing w:val="-2"/>
          <w:sz w:val="24"/>
          <w:szCs w:val="24"/>
          <w:lang w:val="sv-SE"/>
        </w:rPr>
        <w:t>6</w:t>
      </w:r>
      <w:r w:rsidR="00011669" w:rsidRPr="004C4F56">
        <w:rPr>
          <w:b/>
          <w:spacing w:val="-2"/>
          <w:sz w:val="24"/>
          <w:szCs w:val="24"/>
          <w:lang w:val="sv-SE"/>
        </w:rPr>
        <w:t>) Về g</w:t>
      </w:r>
      <w:r w:rsidR="00011669" w:rsidRPr="004C4F56">
        <w:rPr>
          <w:b/>
          <w:sz w:val="24"/>
          <w:szCs w:val="24"/>
          <w:lang w:val="sv-SE"/>
        </w:rPr>
        <w:t>iám hộ</w:t>
      </w:r>
      <w:r w:rsidR="00011669" w:rsidRPr="004C4F56">
        <w:rPr>
          <w:b/>
          <w:sz w:val="24"/>
          <w:szCs w:val="24"/>
          <w:u w:val="single"/>
          <w:lang w:val="sv-SE"/>
        </w:rPr>
        <w:t xml:space="preserve"> </w:t>
      </w:r>
    </w:p>
    <w:p w14:paraId="793F3444"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5" w:name="dieu_682"/>
      <w:r w:rsidRPr="004C4F56">
        <w:rPr>
          <w:b/>
          <w:bCs/>
          <w:i/>
          <w:color w:val="000000"/>
        </w:rPr>
        <w:t>Điều 682. Giám hộ</w:t>
      </w:r>
      <w:bookmarkEnd w:id="5"/>
    </w:p>
    <w:p w14:paraId="08C51FD9"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Giám hộ được xác định theo pháp luật của nước nơi người được giám hộ cư trú.</w:t>
      </w:r>
    </w:p>
    <w:p w14:paraId="0155AA95" w14:textId="77777777" w:rsidR="00011669" w:rsidRPr="004C4F56" w:rsidRDefault="00011669" w:rsidP="004C4F56">
      <w:pPr>
        <w:tabs>
          <w:tab w:val="left" w:pos="1335"/>
        </w:tabs>
        <w:spacing w:before="120" w:after="120" w:line="264" w:lineRule="auto"/>
        <w:ind w:firstLine="720"/>
        <w:jc w:val="both"/>
        <w:rPr>
          <w:sz w:val="24"/>
          <w:szCs w:val="24"/>
          <w:lang w:val="sv-SE"/>
        </w:rPr>
      </w:pPr>
      <w:r w:rsidRPr="004C4F56">
        <w:rPr>
          <w:sz w:val="24"/>
          <w:szCs w:val="24"/>
          <w:lang w:val="sv-SE"/>
        </w:rPr>
        <w:t>Giám hộ là chế định liên quan đến năng lực dân sự của chủ thể là cá nhân nhằm bảo vệ quyền lợi hợp pháp của những người không có năng lực hành vi dân sự hoặc năng lực hành vi dân sự không đầy đủ. Chế định này được quy định chung trong BLDS. Vì vậy, các quy phạm xung đột trong Phần 5 BLDS 2015 cũng có quy định về pháp luật áp dụng điều chỉnh quan hệ này. Mặt khác, quy phạm xung đột về giám hộ trước đây trong Luật Hôn nhân và gia đình năm 2000 (Điều 106) không còn được quy định trong Luật Hôn nhân và gia đình năm 2014. Do đó, để bảo vệ tốt nhất quyền lợi của người được giám hộ, Điều 682 BLDS 2015 quy định rõ pháp luật nơi người được giám hộ cư trú là pháp luật áp dụng đối với quan hệ giám hộ.</w:t>
      </w:r>
    </w:p>
    <w:p w14:paraId="4E7DCF26" w14:textId="0C248759" w:rsidR="00011669" w:rsidRPr="004C4F56" w:rsidRDefault="006D5CDE" w:rsidP="004C4F56">
      <w:pPr>
        <w:spacing w:before="120" w:after="120" w:line="264" w:lineRule="auto"/>
        <w:ind w:firstLine="720"/>
        <w:jc w:val="both"/>
        <w:rPr>
          <w:b/>
          <w:spacing w:val="-2"/>
          <w:sz w:val="24"/>
          <w:szCs w:val="24"/>
          <w:lang w:val="sv-SE"/>
        </w:rPr>
      </w:pPr>
      <w:r w:rsidRPr="004C4F56">
        <w:rPr>
          <w:b/>
          <w:sz w:val="24"/>
          <w:szCs w:val="24"/>
          <w:lang w:val="sv-SE"/>
        </w:rPr>
        <w:t>7</w:t>
      </w:r>
      <w:r w:rsidR="00011669" w:rsidRPr="004C4F56">
        <w:rPr>
          <w:b/>
          <w:sz w:val="24"/>
          <w:szCs w:val="24"/>
          <w:lang w:val="sv-SE"/>
        </w:rPr>
        <w:t>) Về hợp đồng</w:t>
      </w:r>
      <w:r w:rsidR="00011669" w:rsidRPr="004C4F56">
        <w:rPr>
          <w:b/>
          <w:spacing w:val="-2"/>
          <w:sz w:val="24"/>
          <w:szCs w:val="24"/>
          <w:lang w:val="sv-SE"/>
        </w:rPr>
        <w:t xml:space="preserve"> </w:t>
      </w:r>
    </w:p>
    <w:p w14:paraId="4846D8FF"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6" w:name="dieu_683"/>
      <w:r w:rsidRPr="004C4F56">
        <w:rPr>
          <w:b/>
          <w:bCs/>
          <w:i/>
          <w:color w:val="000000"/>
        </w:rPr>
        <w:t>Điều 683. Hợp đồng</w:t>
      </w:r>
      <w:bookmarkEnd w:id="6"/>
    </w:p>
    <w:p w14:paraId="60FF97C2"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 xml:space="preserve">1. Các bên trong quan hệ hợp đồng được thỏa thuận lựa chọn pháp luật áp dụng đối với hợp đồng, trừ trường hợp quy định tại các khoản 4, 5 và 6 Điều này. Trường hợp các bên </w:t>
      </w:r>
      <w:r w:rsidRPr="004C4F56">
        <w:rPr>
          <w:i/>
          <w:color w:val="000000"/>
        </w:rPr>
        <w:lastRenderedPageBreak/>
        <w:t>không có thỏa thuận về pháp luật áp dụng thì pháp luật của nước có mối liên hệ gắn bó nhất với hợp đồng đó được áp dụng.</w:t>
      </w:r>
    </w:p>
    <w:p w14:paraId="486DE79C"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2. Pháp luật của nước sau đây được coi là pháp luật của nước có mối liên hệ gắn bó nhất với hợp đồng:</w:t>
      </w:r>
    </w:p>
    <w:p w14:paraId="3B5B285C"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a) Pháp luật của nước nơi người bán cư trú nếu là cá nhân hoặc nơi thành lập nếu là pháp nhân đối với hợp đồng mua bán hàng hóa;</w:t>
      </w:r>
    </w:p>
    <w:p w14:paraId="33281F59"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b) Pháp luật của nước nơi người cung cấp dịch vụ cư trú nếu là cá nhân hoặc nơi thành lập nếu là pháp nhân đối với hợp đồng dịch vụ;</w:t>
      </w:r>
    </w:p>
    <w:p w14:paraId="25476F94"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c) Pháp luật của nước nơi người nhận quyền cư trú nếu là cá nhân hoặc nơi thành lập nếu là pháp nhân đối với hợp đồng chuyển giao quyền sử dụng hoặc chuyển nhượng quyền sở hữu trí tuệ;</w:t>
      </w:r>
    </w:p>
    <w:p w14:paraId="409036DD"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14:paraId="77959BAA"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đ) Pháp luật của nước nơi người tiêu dùng cư trú đối với hợp đồng tiêu dùng.</w:t>
      </w:r>
    </w:p>
    <w:p w14:paraId="4181D1BA"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3. Trường hợp chứng minh được pháp luật của nước khác với pháp luật được nêu tại khoản 2 Điều này có mối liên hệ gắn bó hơn với hợp đồng thì pháp luật áp dụng là pháp luật của nước đó.</w:t>
      </w:r>
    </w:p>
    <w:p w14:paraId="2C57A7E9"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14:paraId="39D1593B"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14:paraId="2F590021"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14:paraId="0466C7B6"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14:paraId="4B80C769" w14:textId="77777777" w:rsidR="00011669" w:rsidRPr="004C4F56" w:rsidRDefault="00011669" w:rsidP="004C4F56">
      <w:pPr>
        <w:spacing w:before="120" w:after="120" w:line="264" w:lineRule="auto"/>
        <w:ind w:firstLine="720"/>
        <w:jc w:val="both"/>
        <w:rPr>
          <w:sz w:val="24"/>
          <w:szCs w:val="24"/>
          <w:lang w:val="sv-SE"/>
        </w:rPr>
      </w:pPr>
      <w:r w:rsidRPr="004C4F56">
        <w:rPr>
          <w:color w:val="000000"/>
          <w:sz w:val="24"/>
          <w:szCs w:val="24"/>
          <w:lang w:val="sv-SE"/>
        </w:rPr>
        <w:t>Các điều khoản về hợp đồng dân sự có YTNN có những thay đổi lớn theo hướng tiếp cận mới phù hợp với xu hướng chung của thế giới và tạo sự linh hoạt hơn trong lĩnh vực hợp đồng, cụ thể là:</w:t>
      </w:r>
      <w:r w:rsidRPr="004C4F56">
        <w:rPr>
          <w:sz w:val="24"/>
          <w:szCs w:val="24"/>
          <w:lang w:val="sv-SE"/>
        </w:rPr>
        <w:t xml:space="preserve"> </w:t>
      </w:r>
    </w:p>
    <w:p w14:paraId="266EEDF3"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 xml:space="preserve">(1) Khẳng định trực tiếp và rõ ràng hơn quyền tự do lựa chọn luật áp dụng với hợp đồng của các bên. Quyền này chỉ bị hạn chế trong trường hợp hợp đồng có đối tượng là bất động sản, hợp đồng lao động, hợp đồng tiêu dùng (khi pháp luật được chọn ảnh hưởng đến quyền lợi tối thiểu của người lao động hoặc người tiêu dùng theo quy định của pháp luật Việt Nam) và trường hợp thay đổi pháp luật áp dụng ảnh hưởng đến quyền lợi hợp pháp của bên thứ ba. Quyền này không bị ràng buộc bởi điều kiện khó xác định như trước đây là “nếu sự thỏa thuận đó không trái với quy định của Bộ luật này và các văn bản pháp luật khác của CHXHCN Việt Nam”; </w:t>
      </w:r>
    </w:p>
    <w:p w14:paraId="08AB3ED9"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 xml:space="preserve">(2) Quy định chung về pháp luật áp dụng cho hợp đồng sẽ điều chỉnh toàn bộ mọi vấn đề liên quan đến hợp đồng, bao gồm nhưng không giới hạn ở quyền và nghĩa vụ của các bên, </w:t>
      </w:r>
      <w:r w:rsidRPr="004C4F56">
        <w:rPr>
          <w:sz w:val="24"/>
          <w:szCs w:val="24"/>
          <w:lang w:val="sv-SE"/>
        </w:rPr>
        <w:lastRenderedPageBreak/>
        <w:t>hiệu lực của hợp đồng, thời gian, địa điểm thực hiện hợp đồng nếu các bên không có thỏa thuận cụ thể...;</w:t>
      </w:r>
      <w:r w:rsidRPr="004C4F56">
        <w:rPr>
          <w:rStyle w:val="FootnoteReference"/>
          <w:sz w:val="24"/>
          <w:szCs w:val="24"/>
          <w:lang w:val="sv-SE"/>
        </w:rPr>
        <w:footnoteReference w:id="2"/>
      </w:r>
    </w:p>
    <w:p w14:paraId="2C96CDD2"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(3) Thay thế hệ thuộc luật nơi thực hiện hợp đồng bằng nguyên tắc áp dụng pháp luật nước nơi có mối liên hệ gắn bó nhất với hợp đồng đó.</w:t>
      </w:r>
      <w:r w:rsidRPr="004C4F56">
        <w:rPr>
          <w:rStyle w:val="FootnoteReference"/>
          <w:sz w:val="24"/>
          <w:szCs w:val="24"/>
          <w:lang w:val="sv-SE"/>
        </w:rPr>
        <w:footnoteReference w:id="3"/>
      </w:r>
      <w:r w:rsidRPr="004C4F56">
        <w:rPr>
          <w:sz w:val="24"/>
          <w:szCs w:val="24"/>
          <w:lang w:val="sv-SE"/>
        </w:rPr>
        <w:t xml:space="preserve"> </w:t>
      </w:r>
    </w:p>
    <w:p w14:paraId="3062B39A"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Việc áp dụng pháp luật nơi thực hiện hợp đồng theo quy định của BLDS 2005 gây khó khăn cho việc xác định pháp luật áp dụng đặc biệt đối với các hợp đồng song vụ, các nghĩa vụ hợp đồng có thể được thực hiện ở nhiều nơi, nhiều nước khác nhau hoặc trong trường hợp nơi thực hiện hợp đồng bị thay đổi dẫn đến khó dự đoán trước được. Hệ thuộc luật được xác định trên cơ sở nơi có mối liên hệ gắn bó nhất với hợp đồng là cách tiếp cận hiện đại, mềm dẻo, đồng bộ với quy định tại khoản 3 Điều 664 BLDS 2015. Đồng thời, khoản 3 Điều này được bổ sung để xác định hệ thuộc luật áp dụng trong trường hợp chứng minh được pháp luật nước nơi có mối liên hệ gắn bó nhất khác với pháp luật được nêu tại khoản 2 Điều này. Quy định tại khoản 3 tạo độ mềm dẻo trong áp dụng pháp luật với hợp đồng, đồng thời gắn kết với quy định mang tính nguyên tắc về nơi có mối liên hệ gắn bó nhất quy định tại khoản 3 Điều 664.</w:t>
      </w:r>
    </w:p>
    <w:p w14:paraId="2526B8D9" w14:textId="14A6229B" w:rsidR="00D31DAD" w:rsidRPr="004C4F56" w:rsidRDefault="00011669" w:rsidP="004C4F56">
      <w:pPr>
        <w:spacing w:before="120" w:after="120" w:line="264" w:lineRule="auto"/>
        <w:ind w:firstLine="720"/>
        <w:jc w:val="both"/>
        <w:rPr>
          <w:color w:val="000000"/>
          <w:sz w:val="24"/>
          <w:szCs w:val="24"/>
        </w:rPr>
      </w:pPr>
      <w:r w:rsidRPr="004C4F56">
        <w:rPr>
          <w:sz w:val="24"/>
          <w:szCs w:val="24"/>
          <w:lang w:val="sv-SE"/>
        </w:rPr>
        <w:t xml:space="preserve"> Khoản 4 xác định trường hợp hạn chế quyền lựa chọn pháp luật của các bên khi hợp đồng có đối tượng là bất động sản: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 Trong các hợp đồng chuyển giao quyền sở hữu, quyền khác đối với bất động sản, thuê bất động sản, hợp đồng bảo đảm có bất động sản là tài sản bảo đảm, các bên không được thỏa thuận lựa chọn pháp luật áp dụng.</w:t>
      </w:r>
      <w:r w:rsidR="00D31DAD" w:rsidRPr="004C4F56">
        <w:rPr>
          <w:sz w:val="24"/>
          <w:szCs w:val="24"/>
          <w:lang w:val="sv-SE"/>
        </w:rPr>
        <w:t xml:space="preserve"> Có thể nói, so với BLDS 2005, quy định này đã </w:t>
      </w:r>
      <w:r w:rsidR="00D31DAD" w:rsidRPr="004C4F56">
        <w:rPr>
          <w:rStyle w:val="CommentReference"/>
          <w:sz w:val="24"/>
          <w:szCs w:val="24"/>
        </w:rPr>
        <w:t/>
      </w:r>
      <w:r w:rsidR="00D31DAD" w:rsidRPr="004C4F56">
        <w:rPr>
          <w:sz w:val="24"/>
          <w:szCs w:val="24"/>
        </w:rPr>
        <w:t>đã thu hẹp khá nhiều phạm vi của điều luật cũ</w:t>
      </w:r>
      <w:r w:rsidR="00D31DAD" w:rsidRPr="004C4F56">
        <w:rPr>
          <w:sz w:val="24"/>
          <w:szCs w:val="24"/>
        </w:rPr>
        <w:t xml:space="preserve">, cụ thể: </w:t>
      </w:r>
      <w:r w:rsidR="00D31DAD" w:rsidRPr="004C4F56">
        <w:rPr>
          <w:sz w:val="24"/>
          <w:szCs w:val="24"/>
        </w:rPr>
        <w:t xml:space="preserve">Nếu như </w:t>
      </w:r>
      <w:r w:rsidR="00D31DAD" w:rsidRPr="004C4F56">
        <w:rPr>
          <w:color w:val="000000"/>
          <w:sz w:val="24"/>
          <w:szCs w:val="24"/>
        </w:rPr>
        <w:t xml:space="preserve"> </w:t>
      </w:r>
      <w:r w:rsidR="00D31DAD" w:rsidRPr="004C4F56">
        <w:rPr>
          <w:color w:val="000000"/>
          <w:sz w:val="24"/>
          <w:szCs w:val="24"/>
        </w:rPr>
        <w:t xml:space="preserve">khoản 2 </w:t>
      </w:r>
      <w:r w:rsidR="00D31DAD" w:rsidRPr="004C4F56">
        <w:rPr>
          <w:color w:val="000000"/>
          <w:sz w:val="24"/>
          <w:szCs w:val="24"/>
        </w:rPr>
        <w:t>Điều 769, BLDS 2005 quy định chung chung rằng “Hợp đồng liên quan đến bất động sản ở Việt Nam phải tuân theo pháp luật Cộng hòa xã hội chủ nghĩa Việt Nam”, thì khoản 4, điều 683 BLDS 2015 đã quy định rõ hơn là chỉ “ việc chuyển giao quyền sở hữu, quyền khác đối với tài sản là bất động sản, thuê bất động sản hoặc việc sử dụng bất động sản để bảo đảm thực hiện nghĩa vụ” mới phải tuân theo pháp luật VN, tức các bên không được lựa chọn pháp luật nước ngoài.</w:t>
      </w:r>
    </w:p>
    <w:p w14:paraId="339E851E" w14:textId="34BBC5B9"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Khoản 5 được bổ sung để bảo vệ tốt hơn lợi ích của người lao động, người tiêu dùng bằng cách áp dụng pháp luật Việt Nam cho trường hợp pháp luật do các bên lựa chọn trong hợp đồng lao động, hợp đồng tiêu dùng có ảnh hưởng đến quyền lợi tối thiểu của người lao động, người tiêu dùng theo quy định của pháp luật Việt Nam.</w:t>
      </w:r>
      <w:r w:rsidR="00F52A88" w:rsidRPr="004C4F56">
        <w:rPr>
          <w:sz w:val="24"/>
          <w:szCs w:val="24"/>
          <w:lang w:val="sv-SE"/>
        </w:rPr>
        <w:t xml:space="preserve"> Tuy nhiên, cũng cần phải xác định rằng </w:t>
      </w:r>
      <w:r w:rsidR="00F52A88" w:rsidRPr="004C4F56">
        <w:rPr>
          <w:sz w:val="24"/>
          <w:szCs w:val="24"/>
        </w:rPr>
        <w:t>q</w:t>
      </w:r>
      <w:r w:rsidR="00F52A88" w:rsidRPr="004C4F56">
        <w:rPr>
          <w:sz w:val="24"/>
          <w:szCs w:val="24"/>
        </w:rPr>
        <w:t xml:space="preserve">uy định này không mặc nhiên loại trừ </w:t>
      </w:r>
      <w:r w:rsidR="00F52A88" w:rsidRPr="004C4F56">
        <w:rPr>
          <w:sz w:val="24"/>
          <w:szCs w:val="24"/>
        </w:rPr>
        <w:t>việc các bên thỏa thuận lựa chọn pháp l</w:t>
      </w:r>
      <w:r w:rsidR="00F52A88" w:rsidRPr="004C4F56">
        <w:rPr>
          <w:sz w:val="24"/>
          <w:szCs w:val="24"/>
        </w:rPr>
        <w:t>luật nước ngoài</w:t>
      </w:r>
      <w:r w:rsidR="00F52A88" w:rsidRPr="004C4F56">
        <w:rPr>
          <w:sz w:val="24"/>
          <w:szCs w:val="24"/>
        </w:rPr>
        <w:t xml:space="preserve">, </w:t>
      </w:r>
      <w:r w:rsidR="00F52A88" w:rsidRPr="004C4F56">
        <w:rPr>
          <w:sz w:val="24"/>
          <w:szCs w:val="24"/>
        </w:rPr>
        <w:lastRenderedPageBreak/>
        <w:t>pháp l</w:t>
      </w:r>
      <w:r w:rsidR="00F52A88" w:rsidRPr="004C4F56">
        <w:rPr>
          <w:sz w:val="24"/>
          <w:szCs w:val="24"/>
        </w:rPr>
        <w:t xml:space="preserve">uật nước ngoài do các bên lựa chọn sẽ vẫn được áp dụng nếu có những quy định bảo vệ người lao động, người tiêu dùng tốt hơn, hoặc ngang bằng, luật </w:t>
      </w:r>
      <w:r w:rsidR="00F52A88" w:rsidRPr="004C4F56">
        <w:rPr>
          <w:sz w:val="24"/>
          <w:szCs w:val="24"/>
        </w:rPr>
        <w:t>Việt Nam</w:t>
      </w:r>
      <w:r w:rsidR="00F52A88" w:rsidRPr="004C4F56">
        <w:rPr>
          <w:sz w:val="24"/>
          <w:szCs w:val="24"/>
        </w:rPr>
        <w:t>.</w:t>
      </w:r>
    </w:p>
    <w:p w14:paraId="63659B93"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Khoản 6 được bổ sung để bảo vệ lợi ích của người thứ ba có liên quan, tránh tình trạng lẩn tránh pháp luật, theo đó các bên có thể thỏa thuận thay đổi pháp luật áp dụng đối với hợp đồng nhưng việc thay đổi đó không được ảnh hưởng đến quyền và lợi ích hợp pháp của bên thứ ba được hưởng trước khi thay đổi pháp luật áp dụng, trừ trường hợp người thứ ba đồng ý. Ví dụ: Trường hợp hợp đồng vì lợi ích của người thứ ba mà lợi ích của người thứ ba bị thiệt hại do thay đổi pháp luật áp dụng hoặc trường hợp người thứ ba bảo lãnh cho một bên thực hiện nghĩa vụ theo hợp đồng mà việc thay đổi pháp luật áp dụng làm tăng nghĩa vụ mà người thứ ba bảo lãnh.</w:t>
      </w:r>
    </w:p>
    <w:p w14:paraId="4C0E41C6"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Khoản 7 quy định về pháp luật áp dụng đối với hình thức của hợp đồng.  Pháp luật áp dụng đối với hợp đồng cũng điều chỉnh cả hình thức của hợp đồng. Tuy nhiên, để hạn chế trường hợp hợp đồng bị vô hiệu về hình thức, quy định này mở rộng phạm vi pháp luật áp dụng với hình thức của hợp đồng theo hướng: trường hợp hình thức của hợp đồng phù hợp với hình thức hợp đồng theo pháp luật của nước nơi giao kết hoặc pháp luật Việt Nam thì hình thức đó cũng được công nhận tại Việt Nam.</w:t>
      </w:r>
    </w:p>
    <w:p w14:paraId="59FE2DEF"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Điều này không hạn chế việc các bên được chọn pháp luật của nhiều nước khác nhau áp dụng với những phần khác nhau của hợp đồng. Tuy nhiên, việc lựa chọn nhiều pháp luật có thể dẫn đến xung đột nội tại giữa pháp luật áp dụng trong chỉnh thể hợp đồng thống nhất. Vì vậy, khi lựa chọn pháp luật áp dụng trong hợp đồng, các bên cần cân nhắc kỹ việc lựa chọn nhiều luật hay không.</w:t>
      </w:r>
    </w:p>
    <w:p w14:paraId="0734FDF9"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Pháp luật cũng không cấm việc các bên lựa chọn áp dụng quy định của điều ước quốc tế. Tuy nhiên, điều ước quốc tế ràng buộc nghĩa vụ giữa các quốc gia và không phải là một hệ thống đầy đủ để điều chỉnh quyền và nghĩa vụ của các bên trong QHDSYTNN. Vì vậy, khi các bên lựa chọn áp dụng quy định của điều ước quốc tế, đây được coi là một thỏa thuận “tắt” mà không phải là thỏa thuận lựa chọn pháp luật áp dụng đối với hợp đồng. Vì vậy, nếu quy định của điều ước quốc tế do các bên lựa chọn không quy định cụ thể về quyền và nghĩa vụ của các bên  thì quyền và nghĩa vụ của các bên được xác định trên cơ sở pháp luật áp dụng theo khoản 2 Điều 683 BLDS 2015.</w:t>
      </w:r>
    </w:p>
    <w:p w14:paraId="16FFEC43" w14:textId="0A97F7A4" w:rsidR="00011669" w:rsidRPr="004C4F56" w:rsidRDefault="006D5CDE" w:rsidP="004C4F56">
      <w:pPr>
        <w:spacing w:before="120" w:after="120" w:line="264" w:lineRule="auto"/>
        <w:ind w:firstLine="720"/>
        <w:jc w:val="both"/>
        <w:rPr>
          <w:b/>
          <w:sz w:val="24"/>
          <w:szCs w:val="24"/>
          <w:lang w:val="sv-SE"/>
        </w:rPr>
      </w:pPr>
      <w:r w:rsidRPr="004C4F56">
        <w:rPr>
          <w:b/>
          <w:sz w:val="24"/>
          <w:szCs w:val="24"/>
          <w:lang w:val="sv-SE"/>
        </w:rPr>
        <w:t>8</w:t>
      </w:r>
      <w:r w:rsidR="00011669" w:rsidRPr="004C4F56">
        <w:rPr>
          <w:b/>
          <w:sz w:val="24"/>
          <w:szCs w:val="24"/>
          <w:lang w:val="sv-SE"/>
        </w:rPr>
        <w:t>) Về hành vi pháp lý đơn phương</w:t>
      </w:r>
    </w:p>
    <w:p w14:paraId="04F04C4C" w14:textId="77777777" w:rsidR="003629BA" w:rsidRPr="004C4F56" w:rsidRDefault="003629BA" w:rsidP="004C4F56">
      <w:pPr>
        <w:shd w:val="clear" w:color="auto" w:fill="FFFFFF"/>
        <w:spacing w:before="120" w:after="120" w:line="234" w:lineRule="atLeast"/>
        <w:ind w:firstLine="720"/>
        <w:rPr>
          <w:rFonts w:eastAsiaTheme="minorHAnsi"/>
          <w:i/>
          <w:color w:val="000000"/>
          <w:sz w:val="24"/>
          <w:szCs w:val="24"/>
        </w:rPr>
      </w:pPr>
      <w:bookmarkStart w:id="7" w:name="dieu_684"/>
      <w:r w:rsidRPr="004C4F56">
        <w:rPr>
          <w:rFonts w:eastAsiaTheme="minorHAnsi"/>
          <w:b/>
          <w:bCs/>
          <w:i/>
          <w:color w:val="000000"/>
          <w:sz w:val="24"/>
          <w:szCs w:val="24"/>
        </w:rPr>
        <w:t>Điều 684. Hành vi pháp lý đơn phương</w:t>
      </w:r>
      <w:bookmarkEnd w:id="7"/>
    </w:p>
    <w:p w14:paraId="76083CCC" w14:textId="43D54C0E" w:rsidR="003629BA" w:rsidRPr="004C4F56" w:rsidRDefault="003629BA" w:rsidP="004C4F56">
      <w:pPr>
        <w:shd w:val="clear" w:color="auto" w:fill="FFFFFF"/>
        <w:spacing w:before="120" w:after="120" w:line="234" w:lineRule="atLeast"/>
        <w:ind w:firstLine="720"/>
        <w:rPr>
          <w:rFonts w:eastAsiaTheme="minorHAnsi"/>
          <w:i/>
          <w:color w:val="000000"/>
          <w:sz w:val="24"/>
          <w:szCs w:val="24"/>
        </w:rPr>
      </w:pPr>
      <w:r w:rsidRPr="004C4F56">
        <w:rPr>
          <w:rFonts w:eastAsiaTheme="minorHAnsi"/>
          <w:i/>
          <w:color w:val="000000"/>
          <w:sz w:val="24"/>
          <w:szCs w:val="24"/>
        </w:rPr>
        <w:t>Pháp luật áp dụng đối với hành vi pháp lý đơn phương là pháp luật của nước nơi cá nhân xác lập hành vi đó cư trú hoặc nơi pháp nhân xác lập hành vi đó được thành lập</w:t>
      </w:r>
    </w:p>
    <w:p w14:paraId="73177FA8" w14:textId="05802DE6" w:rsidR="00011669" w:rsidRPr="004C4F56" w:rsidRDefault="00F52A88" w:rsidP="004C4F56">
      <w:pPr>
        <w:shd w:val="clear" w:color="auto" w:fill="FFFFFF"/>
        <w:spacing w:before="120" w:after="120" w:line="234" w:lineRule="atLeast"/>
        <w:ind w:firstLine="720"/>
        <w:jc w:val="both"/>
        <w:rPr>
          <w:sz w:val="24"/>
          <w:szCs w:val="24"/>
          <w:lang w:val="sv-SE"/>
        </w:rPr>
      </w:pPr>
      <w:r w:rsidRPr="004C4F56">
        <w:rPr>
          <w:rFonts w:eastAsiaTheme="minorHAnsi"/>
          <w:color w:val="000000"/>
          <w:sz w:val="24"/>
          <w:szCs w:val="24"/>
        </w:rPr>
        <w:t xml:space="preserve">Về cơ bản nội dung </w:t>
      </w:r>
      <w:r w:rsidR="00ED09C8" w:rsidRPr="004C4F56">
        <w:rPr>
          <w:rFonts w:eastAsiaTheme="minorHAnsi"/>
          <w:color w:val="000000"/>
          <w:sz w:val="24"/>
          <w:szCs w:val="24"/>
        </w:rPr>
        <w:t xml:space="preserve">của Điều 684 BLDS 2015 được sửa đổi trên cơ sở tiếp thu Điều 772 BLDS 2005, có thay đổi về: (i) tên gọi “giao dịch dân sự” thành “hành vi pháp lý” bởi lẽ giao dịch dân sự gồm hợp đồng dân sự và hành vi pháp lý đơn phương việc sửa đổi tên gọi đảm bảo đúng phản ánh đúng nội hàm của khái nhiệm giao dịch dân sự; (ii) </w:t>
      </w:r>
      <w:r w:rsidR="00011669" w:rsidRPr="004C4F56">
        <w:rPr>
          <w:sz w:val="24"/>
          <w:szCs w:val="24"/>
          <w:lang w:val="sv-SE"/>
        </w:rPr>
        <w:t xml:space="preserve">thống nhất về </w:t>
      </w:r>
      <w:r w:rsidR="006D5CDE" w:rsidRPr="004C4F56">
        <w:rPr>
          <w:sz w:val="24"/>
          <w:szCs w:val="24"/>
          <w:lang w:val="sv-SE"/>
        </w:rPr>
        <w:t xml:space="preserve">xác định </w:t>
      </w:r>
      <w:r w:rsidR="00011669" w:rsidRPr="004C4F56">
        <w:rPr>
          <w:sz w:val="24"/>
          <w:szCs w:val="24"/>
          <w:lang w:val="sv-SE"/>
        </w:rPr>
        <w:t xml:space="preserve">pháp luật được áp dụng </w:t>
      </w:r>
      <w:r w:rsidR="006D5CDE" w:rsidRPr="004C4F56">
        <w:rPr>
          <w:sz w:val="24"/>
          <w:szCs w:val="24"/>
          <w:lang w:val="sv-SE"/>
        </w:rPr>
        <w:t xml:space="preserve">chung </w:t>
      </w:r>
      <w:r w:rsidR="00011669" w:rsidRPr="004C4F56">
        <w:rPr>
          <w:sz w:val="24"/>
          <w:szCs w:val="24"/>
          <w:lang w:val="sv-SE"/>
        </w:rPr>
        <w:t xml:space="preserve">đối với hành vi pháp lý đơn phương </w:t>
      </w:r>
      <w:r w:rsidR="006D5CDE" w:rsidRPr="004C4F56">
        <w:rPr>
          <w:rFonts w:eastAsiaTheme="minorHAnsi"/>
          <w:color w:val="000000"/>
          <w:sz w:val="24"/>
          <w:szCs w:val="24"/>
        </w:rPr>
        <w:t>là pháp luật của nước nơi cá nhân xác lập hành vi đó cư trú hoặc nơi pháp nhân xác lập hành vi đó được thành lập</w:t>
      </w:r>
      <w:r w:rsidR="006D5CDE" w:rsidRPr="004C4F56">
        <w:rPr>
          <w:sz w:val="24"/>
          <w:szCs w:val="24"/>
          <w:lang w:val="sv-SE"/>
        </w:rPr>
        <w:t xml:space="preserve"> mà không giới hạn </w:t>
      </w:r>
      <w:r w:rsidR="006D5CDE" w:rsidRPr="004C4F56">
        <w:rPr>
          <w:sz w:val="24"/>
          <w:szCs w:val="24"/>
          <w:lang w:val="sv-SE"/>
        </w:rPr>
        <w:t>chỉ</w:t>
      </w:r>
      <w:r w:rsidR="006D5CDE" w:rsidRPr="004C4F56">
        <w:rPr>
          <w:sz w:val="24"/>
          <w:szCs w:val="24"/>
          <w:lang w:val="sv-SE"/>
        </w:rPr>
        <w:t xml:space="preserve"> áp dụng đối với quyền, nghĩa vụ của bên tự nguyện thực hiện hành vi. </w:t>
      </w:r>
    </w:p>
    <w:p w14:paraId="67894E82" w14:textId="4D901095" w:rsidR="00011669" w:rsidRPr="004C4F56" w:rsidRDefault="006D5CDE" w:rsidP="004C4F56">
      <w:pPr>
        <w:tabs>
          <w:tab w:val="left" w:pos="1335"/>
        </w:tabs>
        <w:spacing w:before="120" w:after="120" w:line="264" w:lineRule="auto"/>
        <w:ind w:firstLine="720"/>
        <w:jc w:val="both"/>
        <w:rPr>
          <w:b/>
          <w:sz w:val="24"/>
          <w:szCs w:val="24"/>
          <w:lang w:val="sv-SE"/>
        </w:rPr>
      </w:pPr>
      <w:r w:rsidRPr="004C4F56">
        <w:rPr>
          <w:b/>
          <w:sz w:val="24"/>
          <w:szCs w:val="24"/>
          <w:lang w:val="sv-SE"/>
        </w:rPr>
        <w:t>9</w:t>
      </w:r>
      <w:r w:rsidR="00011669" w:rsidRPr="004C4F56">
        <w:rPr>
          <w:b/>
          <w:sz w:val="24"/>
          <w:szCs w:val="24"/>
          <w:lang w:val="sv-SE"/>
        </w:rPr>
        <w:t xml:space="preserve">) Về nghĩa vụ hoàn trả do chiếm hữu, sử dụng, được lợi về tài sản không có căn cứ pháp luật </w:t>
      </w:r>
    </w:p>
    <w:p w14:paraId="346C6318"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8" w:name="dieu_685"/>
      <w:r w:rsidRPr="004C4F56">
        <w:rPr>
          <w:b/>
          <w:bCs/>
          <w:i/>
          <w:color w:val="000000"/>
        </w:rPr>
        <w:t>Điều 685. Nghĩa vụ hoàn trả do chiếm hữu, sử dụng, được lợi về tài sản không có căn cứ pháp luật</w:t>
      </w:r>
      <w:bookmarkEnd w:id="8"/>
    </w:p>
    <w:p w14:paraId="3D2267FC" w14:textId="77777777" w:rsidR="003629BA" w:rsidRPr="004C4F56" w:rsidRDefault="003629BA" w:rsidP="004C4F56">
      <w:pPr>
        <w:pStyle w:val="NormalWeb"/>
        <w:shd w:val="clear" w:color="auto" w:fill="FFFFFF"/>
        <w:spacing w:before="120" w:beforeAutospacing="0" w:after="120" w:afterAutospacing="0" w:line="234" w:lineRule="atLeast"/>
        <w:ind w:firstLine="720"/>
        <w:rPr>
          <w:color w:val="000000"/>
        </w:rPr>
      </w:pPr>
      <w:r w:rsidRPr="004C4F56">
        <w:rPr>
          <w:i/>
          <w:color w:val="000000"/>
        </w:rPr>
        <w:lastRenderedPageBreak/>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r w:rsidRPr="004C4F56">
        <w:rPr>
          <w:color w:val="000000"/>
        </w:rPr>
        <w:t>.</w:t>
      </w:r>
    </w:p>
    <w:p w14:paraId="1995C272" w14:textId="77777777" w:rsidR="00011669" w:rsidRPr="004C4F56" w:rsidRDefault="00011669" w:rsidP="004C4F56">
      <w:pPr>
        <w:tabs>
          <w:tab w:val="left" w:pos="1335"/>
        </w:tabs>
        <w:spacing w:before="120" w:after="120" w:line="264" w:lineRule="auto"/>
        <w:ind w:firstLine="720"/>
        <w:jc w:val="both"/>
        <w:rPr>
          <w:i/>
          <w:sz w:val="24"/>
          <w:szCs w:val="24"/>
          <w:lang w:val="sv-SE"/>
        </w:rPr>
      </w:pPr>
      <w:r w:rsidRPr="004C4F56">
        <w:rPr>
          <w:sz w:val="24"/>
          <w:szCs w:val="24"/>
          <w:lang w:val="sv-SE"/>
        </w:rPr>
        <w:t>Phần 7 BLDS 2005 cũ không có quy định về pháp luật áp dụng đối với quan hệ nghĩa vụ phát sinh do chiếm hữu, sử dụng, được lợi về tài sản không có căn cứ pháp luật mặc dù đây là một trong các trường hợp cơ bản làm phát sinh nghĩa vụ ngoài hợp đồng. Phần 5 BLDS 2015 đã bổ sung quy định (Điều 685) về pháp luật áp dụng là pháp luật của nơi thực hiện việc chiếm hữu, sử dụng, được lợi về tài sản không có căn cứ pháp luật.</w:t>
      </w:r>
      <w:r w:rsidRPr="004C4F56">
        <w:rPr>
          <w:rStyle w:val="FootnoteReference"/>
          <w:sz w:val="24"/>
          <w:szCs w:val="24"/>
          <w:lang w:val="sv-SE"/>
        </w:rPr>
        <w:footnoteReference w:id="4"/>
      </w:r>
      <w:r w:rsidRPr="004C4F56">
        <w:rPr>
          <w:sz w:val="24"/>
          <w:szCs w:val="24"/>
          <w:lang w:val="sv-SE"/>
        </w:rPr>
        <w:t xml:space="preserve"> </w:t>
      </w:r>
    </w:p>
    <w:p w14:paraId="21515480" w14:textId="62E72C82" w:rsidR="00011669" w:rsidRPr="004C4F56" w:rsidRDefault="006D5CDE" w:rsidP="004C4F56">
      <w:pPr>
        <w:tabs>
          <w:tab w:val="left" w:pos="1335"/>
        </w:tabs>
        <w:spacing w:before="120" w:after="120" w:line="264" w:lineRule="auto"/>
        <w:ind w:firstLine="720"/>
        <w:jc w:val="both"/>
        <w:rPr>
          <w:b/>
          <w:sz w:val="24"/>
          <w:szCs w:val="24"/>
          <w:lang w:val="sv-SE"/>
        </w:rPr>
      </w:pPr>
      <w:r w:rsidRPr="004C4F56">
        <w:rPr>
          <w:b/>
          <w:sz w:val="24"/>
          <w:szCs w:val="24"/>
          <w:lang w:val="sv-SE"/>
        </w:rPr>
        <w:t>10</w:t>
      </w:r>
      <w:r w:rsidR="00011669" w:rsidRPr="004C4F56">
        <w:rPr>
          <w:b/>
          <w:sz w:val="24"/>
          <w:szCs w:val="24"/>
          <w:lang w:val="sv-SE"/>
        </w:rPr>
        <w:t>) Về thực hiện công việc không có ủy quyền</w:t>
      </w:r>
    </w:p>
    <w:p w14:paraId="6DD7F59A"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9" w:name="dieu_686"/>
      <w:r w:rsidRPr="004C4F56">
        <w:rPr>
          <w:b/>
          <w:bCs/>
          <w:i/>
          <w:color w:val="000000"/>
        </w:rPr>
        <w:t>Điều 686. Thực hiện công việc không có ủy quyền</w:t>
      </w:r>
      <w:bookmarkEnd w:id="9"/>
    </w:p>
    <w:p w14:paraId="10F60186"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14:paraId="4823781C" w14:textId="77777777" w:rsidR="00011669" w:rsidRPr="004C4F56" w:rsidRDefault="00011669" w:rsidP="004C4F56">
      <w:pPr>
        <w:tabs>
          <w:tab w:val="left" w:pos="7290"/>
        </w:tabs>
        <w:spacing w:before="120" w:after="120" w:line="264" w:lineRule="auto"/>
        <w:ind w:firstLine="720"/>
        <w:jc w:val="both"/>
        <w:rPr>
          <w:sz w:val="24"/>
          <w:szCs w:val="24"/>
          <w:lang w:val="sv-SE"/>
        </w:rPr>
      </w:pPr>
      <w:r w:rsidRPr="004C4F56">
        <w:rPr>
          <w:sz w:val="24"/>
          <w:szCs w:val="24"/>
          <w:lang w:val="sv-SE"/>
        </w:rPr>
        <w:t>Điều 686 BLDS 2015 đã quy định rõ trong trường hợp thực hiện công việc không có ủy quyền các bên cũng được thỏa thuận lựa chọn pháp luật áp dụng, trường hợp không thỏa thuận mới áp dụng pháp luật nước nơi thực hiện công việc không có ủy quyền. Tương tự như pháp luật áp dụng đối với quan hệ nghĩa vụ do chiếm hữu, sử dụng, được lợi về tài sản không có căn cứ pháp luật, Phần 7 BLDS 2005 trước đây không quy định xung đột pháp luật đối với quan hệ nghĩa vụ phát sinh từ việc thực hiện công việc không có ủy quyền.</w:t>
      </w:r>
    </w:p>
    <w:p w14:paraId="13C39A33" w14:textId="69D9E5CD" w:rsidR="00011669" w:rsidRPr="004C4F56" w:rsidRDefault="006D5CDE" w:rsidP="004C4F56">
      <w:pPr>
        <w:tabs>
          <w:tab w:val="left" w:pos="7290"/>
        </w:tabs>
        <w:spacing w:before="120" w:after="120" w:line="264" w:lineRule="auto"/>
        <w:ind w:firstLine="720"/>
        <w:jc w:val="both"/>
        <w:rPr>
          <w:b/>
          <w:sz w:val="24"/>
          <w:szCs w:val="24"/>
          <w:lang w:val="sv-SE"/>
        </w:rPr>
      </w:pPr>
      <w:r w:rsidRPr="004C4F56">
        <w:rPr>
          <w:b/>
          <w:sz w:val="24"/>
          <w:szCs w:val="24"/>
          <w:lang w:val="sv-SE"/>
        </w:rPr>
        <w:t>11</w:t>
      </w:r>
      <w:r w:rsidR="00011669" w:rsidRPr="004C4F56">
        <w:rPr>
          <w:b/>
          <w:sz w:val="24"/>
          <w:szCs w:val="24"/>
          <w:lang w:val="sv-SE"/>
        </w:rPr>
        <w:t xml:space="preserve">) Về bồi thường thiệt hại ngoài hợp đồng </w:t>
      </w:r>
    </w:p>
    <w:p w14:paraId="16528C4F"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bookmarkStart w:id="10" w:name="dieu_687"/>
      <w:r w:rsidRPr="004C4F56">
        <w:rPr>
          <w:b/>
          <w:bCs/>
          <w:i/>
          <w:color w:val="000000"/>
        </w:rPr>
        <w:t>Điều 687. Bồi thường thiệt hại ngoài hợp đồng</w:t>
      </w:r>
      <w:bookmarkEnd w:id="10"/>
    </w:p>
    <w:p w14:paraId="77DD6353" w14:textId="77777777"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14:paraId="48A51D5D" w14:textId="2538475D" w:rsidR="003629BA" w:rsidRPr="004C4F56" w:rsidRDefault="003629BA" w:rsidP="004C4F56">
      <w:pPr>
        <w:pStyle w:val="NormalWeb"/>
        <w:shd w:val="clear" w:color="auto" w:fill="FFFFFF"/>
        <w:spacing w:before="120" w:beforeAutospacing="0" w:after="120" w:afterAutospacing="0" w:line="234" w:lineRule="atLeast"/>
        <w:ind w:firstLine="720"/>
        <w:rPr>
          <w:i/>
          <w:color w:val="000000"/>
        </w:rPr>
      </w:pPr>
      <w:r w:rsidRPr="004C4F56">
        <w:rPr>
          <w:i/>
          <w:color w:val="000000"/>
        </w:rPr>
        <w:t>2. Trường hợp bên gây thiệt hại và bên bị thiệt hại có nơi cư trú, đối với cá nhân hoặc nơi thành lập, đối với pháp nhân tại cùng một nước thì pháp luật của nước đó được áp dụng.</w:t>
      </w:r>
    </w:p>
    <w:p w14:paraId="51FF49B4" w14:textId="77777777" w:rsidR="00011669" w:rsidRPr="004C4F56" w:rsidRDefault="00011669" w:rsidP="004C4F56">
      <w:pPr>
        <w:spacing w:before="120" w:after="120" w:line="264" w:lineRule="auto"/>
        <w:ind w:firstLine="720"/>
        <w:jc w:val="both"/>
        <w:rPr>
          <w:sz w:val="24"/>
          <w:szCs w:val="24"/>
          <w:lang w:val="sv-SE"/>
        </w:rPr>
      </w:pPr>
      <w:r w:rsidRPr="004C4F56">
        <w:rPr>
          <w:spacing w:val="-6"/>
          <w:sz w:val="24"/>
          <w:szCs w:val="24"/>
          <w:lang w:val="sv-SE"/>
        </w:rPr>
        <w:t xml:space="preserve">Điều 687 </w:t>
      </w:r>
      <w:r w:rsidRPr="004C4F56">
        <w:rPr>
          <w:sz w:val="24"/>
          <w:szCs w:val="24"/>
          <w:lang w:val="sv-SE"/>
        </w:rPr>
        <w:t>cho phép các bên thỏa thuận chọn luật áp dụng đối với việc bồi thường thiệt hại ngoài hợp đồng để phù hợp với nguyên tắc tôn trọng quyền tự do thỏa thuận của các bên trong quan hệ dân sự.</w:t>
      </w:r>
      <w:r w:rsidRPr="004C4F56">
        <w:rPr>
          <w:rStyle w:val="FootnoteReference"/>
          <w:sz w:val="24"/>
          <w:szCs w:val="24"/>
          <w:lang w:val="sv-SE"/>
        </w:rPr>
        <w:footnoteReference w:id="5"/>
      </w:r>
      <w:r w:rsidRPr="004C4F56">
        <w:rPr>
          <w:sz w:val="24"/>
          <w:szCs w:val="24"/>
          <w:lang w:val="sv-SE"/>
        </w:rPr>
        <w:t xml:space="preserve"> Đối với trường hợp các bên không chọn pháp luật áp dụng, </w:t>
      </w:r>
      <w:r w:rsidRPr="004C4F56">
        <w:rPr>
          <w:spacing w:val="-6"/>
          <w:sz w:val="24"/>
          <w:szCs w:val="24"/>
          <w:lang w:val="sv-SE"/>
        </w:rPr>
        <w:t>Điều 687 sửa đổi theo hướng q</w:t>
      </w:r>
      <w:r w:rsidRPr="004C4F56">
        <w:rPr>
          <w:sz w:val="24"/>
          <w:szCs w:val="24"/>
          <w:lang w:val="sv-SE"/>
        </w:rPr>
        <w:t>uy định rõ áp dụng hệ thuộc nơi phát sinh hậu quả của hành vi gây thiệt hại để tránh cách hiểu và giải thích khác nhau. Thông thường nơi phát sinh hậu quả và nơi thực hiện hành vi thiệt hại là đồng nhất. Trường hợp hai nơi này khác nhau, cần ưu tiên áp dụng hệ thuộc nơi phát sinh hậu quả vì việc áp dụng pháp luật nơi hậu quả phát sinh sẽ tạo điều kiện cho việc khắc phục hậu quả sớm ngay tại nơi hậu quả xảy ra nhằm bảo vệ tốt hơn cho người bị thiệt hại.</w:t>
      </w:r>
      <w:r w:rsidRPr="004C4F56">
        <w:rPr>
          <w:rStyle w:val="FootnoteReference"/>
          <w:sz w:val="24"/>
          <w:szCs w:val="24"/>
          <w:lang w:val="sv-SE"/>
        </w:rPr>
        <w:footnoteReference w:id="6"/>
      </w:r>
      <w:r w:rsidRPr="004C4F56">
        <w:rPr>
          <w:sz w:val="24"/>
          <w:szCs w:val="24"/>
          <w:lang w:val="sv-SE"/>
        </w:rPr>
        <w:t xml:space="preserve"> </w:t>
      </w:r>
    </w:p>
    <w:p w14:paraId="49BB5A8D" w14:textId="77777777" w:rsidR="00011669" w:rsidRPr="004C4F56" w:rsidRDefault="00011669" w:rsidP="004C4F56">
      <w:pPr>
        <w:spacing w:before="120" w:after="120" w:line="264" w:lineRule="auto"/>
        <w:ind w:firstLine="720"/>
        <w:jc w:val="both"/>
        <w:rPr>
          <w:sz w:val="24"/>
          <w:szCs w:val="24"/>
          <w:lang w:val="sv-SE"/>
        </w:rPr>
      </w:pPr>
      <w:r w:rsidRPr="004C4F56">
        <w:rPr>
          <w:sz w:val="24"/>
          <w:szCs w:val="24"/>
          <w:lang w:val="sv-SE"/>
        </w:rPr>
        <w:t>Tuy nhiên, trường hợp bên gây thiệt hại và bên bị thiệt hại có nơi cư trú (với cá nhân) hoặc thành lập (với pháp nhân) tại cùng một nước thì pháp luật của nước đó được áp dụng, bất kể các bên có lựa chọn pháp luật áp dụng cho việc bồi thường thiệt hai ngoài hợp đồng hay không./.</w:t>
      </w:r>
    </w:p>
    <w:p w14:paraId="338DBD19" w14:textId="77777777" w:rsidR="003005C8" w:rsidRPr="004C4F56" w:rsidRDefault="003005C8" w:rsidP="004C4F56">
      <w:pPr>
        <w:spacing w:before="120" w:after="120"/>
        <w:rPr>
          <w:sz w:val="24"/>
          <w:szCs w:val="24"/>
        </w:rPr>
      </w:pPr>
    </w:p>
    <w:p w14:paraId="52C20C6F" w14:textId="77777777" w:rsidR="004C4F56" w:rsidRPr="004C4F56" w:rsidRDefault="004C4F56" w:rsidP="004C4F56">
      <w:pPr>
        <w:spacing w:before="120" w:after="120"/>
        <w:rPr>
          <w:sz w:val="24"/>
          <w:szCs w:val="24"/>
        </w:rPr>
      </w:pPr>
    </w:p>
    <w:sectPr w:rsidR="004C4F56" w:rsidRPr="004C4F56" w:rsidSect="00011669">
      <w:footerReference w:type="even" r:id="rId7"/>
      <w:footerReference w:type="default" r:id="rId8"/>
      <w:pgSz w:w="11907" w:h="16840" w:code="9"/>
      <w:pgMar w:top="567" w:right="1134"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49912" w14:textId="77777777" w:rsidR="004E4553" w:rsidRDefault="004E4553" w:rsidP="00011669">
      <w:r>
        <w:separator/>
      </w:r>
    </w:p>
  </w:endnote>
  <w:endnote w:type="continuationSeparator" w:id="0">
    <w:p w14:paraId="715602E6" w14:textId="77777777" w:rsidR="004E4553" w:rsidRDefault="004E4553" w:rsidP="0001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E2ED" w14:textId="77777777" w:rsidR="007A45CB" w:rsidRDefault="00573499" w:rsidP="004B5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F6115" w14:textId="77777777" w:rsidR="007A45CB" w:rsidRDefault="004E4553" w:rsidP="004B53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BFA9" w14:textId="77777777" w:rsidR="007A45CB" w:rsidRPr="00F843D3" w:rsidRDefault="00573499">
    <w:pPr>
      <w:pStyle w:val="Footer"/>
      <w:jc w:val="right"/>
      <w:rPr>
        <w:sz w:val="28"/>
      </w:rPr>
    </w:pPr>
    <w:r w:rsidRPr="00F843D3">
      <w:rPr>
        <w:sz w:val="28"/>
      </w:rPr>
      <w:fldChar w:fldCharType="begin"/>
    </w:r>
    <w:r w:rsidRPr="00F843D3">
      <w:rPr>
        <w:sz w:val="28"/>
      </w:rPr>
      <w:instrText xml:space="preserve"> PAGE   \* MERGEFORMAT </w:instrText>
    </w:r>
    <w:r w:rsidRPr="00F843D3">
      <w:rPr>
        <w:sz w:val="28"/>
      </w:rPr>
      <w:fldChar w:fldCharType="separate"/>
    </w:r>
    <w:r w:rsidR="004C4F56">
      <w:rPr>
        <w:noProof/>
        <w:sz w:val="28"/>
      </w:rPr>
      <w:t>2</w:t>
    </w:r>
    <w:r w:rsidRPr="00F843D3">
      <w:rPr>
        <w:noProof/>
        <w:sz w:val="28"/>
      </w:rPr>
      <w:fldChar w:fldCharType="end"/>
    </w:r>
  </w:p>
  <w:p w14:paraId="41728572" w14:textId="77777777" w:rsidR="007A45CB" w:rsidRDefault="004E4553" w:rsidP="004B53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5F10A" w14:textId="77777777" w:rsidR="004E4553" w:rsidRDefault="004E4553" w:rsidP="00011669">
      <w:r>
        <w:separator/>
      </w:r>
    </w:p>
  </w:footnote>
  <w:footnote w:type="continuationSeparator" w:id="0">
    <w:p w14:paraId="1F7089F7" w14:textId="77777777" w:rsidR="004E4553" w:rsidRDefault="004E4553" w:rsidP="00011669">
      <w:r>
        <w:continuationSeparator/>
      </w:r>
    </w:p>
  </w:footnote>
  <w:footnote w:id="1">
    <w:p w14:paraId="749FCF92" w14:textId="77777777" w:rsidR="00011669" w:rsidRPr="00C976EC" w:rsidRDefault="00011669" w:rsidP="00011669">
      <w:pPr>
        <w:pStyle w:val="FootnoteText"/>
        <w:rPr>
          <w:lang w:val="en-US"/>
        </w:rPr>
      </w:pPr>
      <w:r>
        <w:rPr>
          <w:rStyle w:val="FootnoteReference"/>
        </w:rPr>
        <w:footnoteRef/>
      </w:r>
      <w:r>
        <w:t xml:space="preserve"> </w:t>
      </w:r>
      <w:r w:rsidRPr="00245A57">
        <w:rPr>
          <w:lang w:val="sv-SE"/>
        </w:rPr>
        <w:t>Công ước La Hay năm 1961 về xung đột pháp luật về hình thức di chúc đưa ra các nguyên tắc cụ thể về lựa chọn luật áp dụng đối với hình thức của di chúc, trong đó đưa ra nhiều hệ thuộc để lựa chọn luật áp dụng: căn cứ vào pháp luật nơi lập di chúc; pháp luật nước người lập di chúc có quốc tịch; pháp luật nơi người lập di chúc thường trú; pháp luật nơi người lập di chúc cư trú khi lập di chúc hoặc khi chết; pháp luật nơi có bất động sản có liên quan trong di chúc. Công ước hiện đã có 41 thành viên tham gia. Rất nhiều quốc gia khi xây dựng quy định pháp luật xung đột về hình thức di chúc đều tiếp thu cách quy định của Công ước. Mặc dù Việt Nam chưa là thành viên của Công ước này, khoản 2 Điều 681 được xây dựng theo hướng tiệm cận với các quy định của Công ước nêu trên để đảm bảo phù hợp với xu hướng chung trên thế giới.</w:t>
      </w:r>
    </w:p>
  </w:footnote>
  <w:footnote w:id="2">
    <w:p w14:paraId="31EB0E8C" w14:textId="77777777" w:rsidR="00011669" w:rsidRPr="00C976EC" w:rsidRDefault="00011669" w:rsidP="00011669">
      <w:pPr>
        <w:spacing w:before="120" w:line="264" w:lineRule="auto"/>
        <w:ind w:firstLine="720"/>
        <w:jc w:val="both"/>
        <w:rPr>
          <w:sz w:val="20"/>
          <w:szCs w:val="20"/>
        </w:rPr>
      </w:pPr>
      <w:r w:rsidRPr="00C976EC">
        <w:rPr>
          <w:rStyle w:val="FootnoteReference"/>
          <w:sz w:val="20"/>
          <w:szCs w:val="20"/>
        </w:rPr>
        <w:footnoteRef/>
      </w:r>
      <w:r w:rsidRPr="00C976EC">
        <w:rPr>
          <w:sz w:val="20"/>
          <w:szCs w:val="20"/>
        </w:rPr>
        <w:t xml:space="preserve"> </w:t>
      </w:r>
      <w:r w:rsidRPr="00C976EC">
        <w:rPr>
          <w:color w:val="000000"/>
          <w:sz w:val="20"/>
          <w:szCs w:val="20"/>
          <w:lang w:val="sv-SE"/>
        </w:rPr>
        <w:t xml:space="preserve">Để đảm bảo sự mềm dẻo cho hệ thuộc luật áp dụng, tạo điều kiện thuận lợi cho các bên trong quan hệ hợp đồng dân sự có YTNN khi chọn pháp luật áp dụng, mặt khác hạn chế được tình trạng lẩn tránh pháp luật, các nước (Trung Quốc, Nhật Bản, Thụy sĩ…) đều quy định cho phép các bên được thỏa thuận chọn pháp luật áp dụng trong hợp đồng, pháp luật áp dụng với hợp đồng sẽ điều chỉnh toàn bộ nội dung và hình thức của hợp đồng, kể cả vấn đề về giao kết hợp đồng, trường hợp các bên không chọn pháp luật áp dụng thì pháp luật áp dụng là pháp luật của nước nơi có liên hệ gắn bó nhất với hợp đồng đó. </w:t>
      </w:r>
    </w:p>
  </w:footnote>
  <w:footnote w:id="3">
    <w:p w14:paraId="2199EA1A" w14:textId="77777777" w:rsidR="00011669" w:rsidRPr="00C976EC" w:rsidRDefault="00011669" w:rsidP="00011669">
      <w:pPr>
        <w:spacing w:before="120" w:line="264" w:lineRule="auto"/>
        <w:ind w:firstLine="720"/>
        <w:jc w:val="both"/>
        <w:rPr>
          <w:sz w:val="20"/>
          <w:szCs w:val="20"/>
          <w:lang w:val="sv-SE"/>
        </w:rPr>
      </w:pPr>
      <w:r w:rsidRPr="00C976EC">
        <w:rPr>
          <w:rStyle w:val="FootnoteReference"/>
          <w:sz w:val="20"/>
          <w:szCs w:val="20"/>
        </w:rPr>
        <w:footnoteRef/>
      </w:r>
      <w:r w:rsidRPr="00C976EC">
        <w:rPr>
          <w:sz w:val="20"/>
          <w:szCs w:val="20"/>
        </w:rPr>
        <w:t xml:space="preserve"> </w:t>
      </w:r>
      <w:r w:rsidRPr="00E33832">
        <w:rPr>
          <w:sz w:val="20"/>
          <w:szCs w:val="20"/>
          <w:lang w:val="sv-SE"/>
        </w:rPr>
        <w:t xml:space="preserve">Một số nước quy định về nơi có liên hệ gắn bó này ngay trong luật theo hướng (i)  xác định mối liên hệ gắn bó cho một số nhóm hợp đồng thông dụng hoặc </w:t>
      </w:r>
      <w:r w:rsidRPr="008C5565">
        <w:rPr>
          <w:sz w:val="20"/>
          <w:szCs w:val="20"/>
          <w:lang w:val="sv-SE"/>
        </w:rPr>
        <w:t xml:space="preserve">(ii) quy định pháp luật áp dụng là pháp luật nơi thường trú hoặc nơi có trụ sở của bên phải thực </w:t>
      </w:r>
      <w:r w:rsidRPr="00C976EC">
        <w:rPr>
          <w:sz w:val="20"/>
          <w:szCs w:val="20"/>
          <w:lang w:val="sv-SE"/>
        </w:rPr>
        <w:t xml:space="preserve">hiện nghĩa vụ cơ bản của hợp đồng, sau đó có quy định cụ thể với một số nhóm hợp đồng thông dụng. Ví dụ quy định của BLDS Nga (Điều 1211), quy định Rome I của Liên minh châu Âu về luật áp dụng với nghĩa vụ hợp đồng (Điều 4). Tiếp thu có chọn lọc kinh nghiệm của châu Âu và các nước, BLDS 2015 bổ sung khoản 2 xác định pháp luật nước nơi có mối liên hệ gắn bó nhất với hợp đồng mua bán hàng hóa, hợp đồng dịch vụ và hợp đồng chuyển giao quyền sử dụng hoặc chuyển nhượng quyền sở hữu trí tuệ bao quát được 3 lĩnh vực thương mại: hàng hóa, dịch vụ và sở hữu trí tuệ. Phần này còn quy định cụ thể hơn về nước nơi có mối liên hệ gắn bó nhất với các loại hợp đồng lao động và tiêu dùng trên tinh thần bảo vệ bên yếu thế. </w:t>
      </w:r>
    </w:p>
    <w:p w14:paraId="28B6A7BC" w14:textId="77777777" w:rsidR="00011669" w:rsidRPr="00245A57" w:rsidRDefault="00011669" w:rsidP="00011669">
      <w:pPr>
        <w:pStyle w:val="FootnoteText"/>
        <w:rPr>
          <w:lang w:val="en-US"/>
        </w:rPr>
      </w:pPr>
    </w:p>
  </w:footnote>
  <w:footnote w:id="4">
    <w:p w14:paraId="024DAB4C" w14:textId="77777777" w:rsidR="00011669" w:rsidRPr="00E33832" w:rsidRDefault="00011669" w:rsidP="00011669">
      <w:pPr>
        <w:tabs>
          <w:tab w:val="left" w:pos="1335"/>
        </w:tabs>
        <w:spacing w:before="120" w:line="264" w:lineRule="auto"/>
        <w:jc w:val="both"/>
      </w:pPr>
      <w:r w:rsidRPr="00C976EC">
        <w:rPr>
          <w:rStyle w:val="FootnoteReference"/>
          <w:sz w:val="20"/>
          <w:szCs w:val="20"/>
        </w:rPr>
        <w:footnoteRef/>
      </w:r>
      <w:r w:rsidRPr="00C976EC">
        <w:rPr>
          <w:sz w:val="20"/>
          <w:szCs w:val="20"/>
        </w:rPr>
        <w:t xml:space="preserve"> </w:t>
      </w:r>
      <w:r w:rsidRPr="00C976EC">
        <w:rPr>
          <w:sz w:val="20"/>
          <w:szCs w:val="20"/>
          <w:lang w:val="sv-SE"/>
        </w:rPr>
        <w:t xml:space="preserve">Quy định </w:t>
      </w:r>
      <w:r>
        <w:rPr>
          <w:sz w:val="20"/>
          <w:szCs w:val="20"/>
          <w:lang w:val="sv-SE"/>
        </w:rPr>
        <w:t>này được</w:t>
      </w:r>
      <w:r w:rsidRPr="00C976EC">
        <w:rPr>
          <w:sz w:val="20"/>
          <w:szCs w:val="20"/>
          <w:lang w:val="sv-SE"/>
        </w:rPr>
        <w:t xml:space="preserve"> tham khảo</w:t>
      </w:r>
      <w:r>
        <w:rPr>
          <w:sz w:val="20"/>
          <w:szCs w:val="20"/>
          <w:lang w:val="sv-SE"/>
        </w:rPr>
        <w:t xml:space="preserve"> từ</w:t>
      </w:r>
      <w:r w:rsidRPr="00C976EC">
        <w:rPr>
          <w:sz w:val="20"/>
          <w:szCs w:val="20"/>
          <w:lang w:val="sv-SE"/>
        </w:rPr>
        <w:t xml:space="preserve"> kinh nghiệm của Trung Quốc, Thái Lan, Nga, Nhật và châu Âu</w:t>
      </w:r>
      <w:r w:rsidRPr="00245A57">
        <w:rPr>
          <w:lang w:val="sv-SE"/>
        </w:rPr>
        <w:t xml:space="preserve">. </w:t>
      </w:r>
    </w:p>
  </w:footnote>
  <w:footnote w:id="5">
    <w:p w14:paraId="78B12779" w14:textId="77777777" w:rsidR="00011669" w:rsidRPr="00E33832" w:rsidRDefault="00011669" w:rsidP="00011669">
      <w:pPr>
        <w:spacing w:before="120" w:line="264" w:lineRule="auto"/>
        <w:jc w:val="both"/>
      </w:pPr>
      <w:r w:rsidRPr="00C976EC">
        <w:rPr>
          <w:rStyle w:val="FootnoteReference"/>
          <w:sz w:val="20"/>
          <w:szCs w:val="20"/>
        </w:rPr>
        <w:footnoteRef/>
      </w:r>
      <w:r w:rsidRPr="00C976EC">
        <w:rPr>
          <w:sz w:val="20"/>
          <w:szCs w:val="20"/>
        </w:rPr>
        <w:t xml:space="preserve"> </w:t>
      </w:r>
      <w:r w:rsidRPr="00C976EC">
        <w:rPr>
          <w:sz w:val="20"/>
          <w:szCs w:val="20"/>
          <w:lang w:val="sv-SE"/>
        </w:rPr>
        <w:t xml:space="preserve">Nguyên tắc này cũng được nhiều nước ghi nhận (như Trung quốc, Nhật Bản, Thụy sỹ, Quy định Rome II của Châu Âu </w:t>
      </w:r>
      <w:r>
        <w:rPr>
          <w:sz w:val="20"/>
          <w:szCs w:val="20"/>
          <w:lang w:val="sv-SE"/>
        </w:rPr>
        <w:t>-</w:t>
      </w:r>
      <w:r w:rsidRPr="00C976EC">
        <w:rPr>
          <w:sz w:val="20"/>
          <w:szCs w:val="20"/>
          <w:lang w:val="sv-SE"/>
        </w:rPr>
        <w:t xml:space="preserve"> Quy định số 864/200</w:t>
      </w:r>
      <w:bookmarkStart w:id="11" w:name="_GoBack"/>
      <w:bookmarkEnd w:id="11"/>
      <w:r w:rsidRPr="00C976EC">
        <w:rPr>
          <w:sz w:val="20"/>
          <w:szCs w:val="20"/>
          <w:lang w:val="sv-SE"/>
        </w:rPr>
        <w:t xml:space="preserve">7 của Nghị viện và Hội đồng châu Âu ngày 11/7/2007 về pháp luật áp dụng đối với nghĩa vụ ngoài hợp đồng). </w:t>
      </w:r>
    </w:p>
  </w:footnote>
  <w:footnote w:id="6">
    <w:p w14:paraId="3F4434E3" w14:textId="77777777" w:rsidR="00011669" w:rsidRPr="00C976EC" w:rsidRDefault="00011669" w:rsidP="00DD5C16">
      <w:pPr>
        <w:pStyle w:val="FootnoteText"/>
        <w:ind w:firstLine="0"/>
        <w:rPr>
          <w:lang w:val="en-US"/>
        </w:rPr>
      </w:pPr>
      <w:r>
        <w:rPr>
          <w:rStyle w:val="FootnoteReference"/>
        </w:rPr>
        <w:footnoteRef/>
      </w:r>
      <w:r>
        <w:t xml:space="preserve"> </w:t>
      </w:r>
      <w:r w:rsidRPr="00F843D3">
        <w:rPr>
          <w:lang w:val="sv-SE"/>
        </w:rPr>
        <w:t>(Quy định này tham khảo khoản 2 Điều 133 Luật tư pháp quốc tế của Thụy sĩ, Điều 17 Luật nguyên tắc áp dụng pháp luật của Nhật hoặc khoản 1 Điều 40 Luật Thi hành BLDS của Đức hoặc Điều 4 khoản 1 Quy định Rome II của châu Âu).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69"/>
    <w:rsid w:val="00011669"/>
    <w:rsid w:val="000B0D45"/>
    <w:rsid w:val="00283D78"/>
    <w:rsid w:val="003005C8"/>
    <w:rsid w:val="003629BA"/>
    <w:rsid w:val="004C4F56"/>
    <w:rsid w:val="004D6778"/>
    <w:rsid w:val="004E4553"/>
    <w:rsid w:val="00501627"/>
    <w:rsid w:val="00573499"/>
    <w:rsid w:val="006046A7"/>
    <w:rsid w:val="006659C0"/>
    <w:rsid w:val="006D0BA3"/>
    <w:rsid w:val="006D5CDE"/>
    <w:rsid w:val="006E70E0"/>
    <w:rsid w:val="007D2D40"/>
    <w:rsid w:val="009F56E5"/>
    <w:rsid w:val="00A07931"/>
    <w:rsid w:val="00BC4588"/>
    <w:rsid w:val="00BE6ACC"/>
    <w:rsid w:val="00C0518F"/>
    <w:rsid w:val="00D31DAD"/>
    <w:rsid w:val="00DD5C16"/>
    <w:rsid w:val="00E07C7C"/>
    <w:rsid w:val="00ED09C8"/>
    <w:rsid w:val="00F52A88"/>
    <w:rsid w:val="00F64018"/>
    <w:rsid w:val="00FD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4D67"/>
  <w15:chartTrackingRefBased/>
  <w15:docId w15:val="{B627A2C2-8BE9-4429-9B33-148B4A7D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66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669"/>
    <w:pPr>
      <w:tabs>
        <w:tab w:val="center" w:pos="4320"/>
        <w:tab w:val="right" w:pos="8640"/>
      </w:tabs>
    </w:pPr>
    <w:rPr>
      <w:sz w:val="20"/>
      <w:lang w:val="x-none" w:eastAsia="x-none"/>
    </w:rPr>
  </w:style>
  <w:style w:type="character" w:customStyle="1" w:styleId="FooterChar">
    <w:name w:val="Footer Char"/>
    <w:basedOn w:val="DefaultParagraphFont"/>
    <w:link w:val="Footer"/>
    <w:uiPriority w:val="99"/>
    <w:rsid w:val="00011669"/>
    <w:rPr>
      <w:rFonts w:eastAsia="Times New Roman" w:cs="Times New Roman"/>
      <w:sz w:val="20"/>
      <w:szCs w:val="28"/>
      <w:lang w:val="x-none" w:eastAsia="x-none"/>
    </w:rPr>
  </w:style>
  <w:style w:type="character" w:styleId="PageNumber">
    <w:name w:val="page number"/>
    <w:basedOn w:val="DefaultParagraphFont"/>
    <w:rsid w:val="00011669"/>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Footnote ak"/>
    <w:basedOn w:val="Normal"/>
    <w:link w:val="FootnoteTextChar"/>
    <w:uiPriority w:val="99"/>
    <w:unhideWhenUsed/>
    <w:qFormat/>
    <w:rsid w:val="00011669"/>
    <w:pPr>
      <w:ind w:firstLine="720"/>
      <w:jc w:val="both"/>
    </w:pPr>
    <w:rPr>
      <w:rFonts w:eastAsia="Arial"/>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011669"/>
    <w:rPr>
      <w:rFonts w:eastAsia="Arial" w:cs="Times New Roman"/>
      <w:sz w:val="20"/>
      <w:szCs w:val="20"/>
      <w:lang w:val="vi-VN" w:eastAsia="x-none"/>
    </w:rPr>
  </w:style>
  <w:style w:type="character" w:styleId="FootnoteReference">
    <w:name w:val="footnote reference"/>
    <w:aliases w:val="Footnote,Footnote text,ftref,Ref,de nota al pie,Footnote text + 13 pt,Footnote Text1,Footnote Reference Numbering"/>
    <w:uiPriority w:val="99"/>
    <w:qFormat/>
    <w:rsid w:val="00011669"/>
    <w:rPr>
      <w:vertAlign w:val="superscript"/>
    </w:rPr>
  </w:style>
  <w:style w:type="paragraph" w:styleId="CommentText">
    <w:name w:val="annotation text"/>
    <w:basedOn w:val="Normal"/>
    <w:link w:val="CommentTextChar"/>
    <w:unhideWhenUsed/>
    <w:rsid w:val="00011669"/>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link w:val="CommentText"/>
    <w:rsid w:val="00011669"/>
    <w:rPr>
      <w:rFonts w:ascii="Calibri" w:eastAsia="Times New Roman" w:hAnsi="Calibri" w:cs="Times New Roman"/>
      <w:sz w:val="20"/>
      <w:szCs w:val="20"/>
      <w:lang w:val="x-none" w:eastAsia="x-none"/>
    </w:rPr>
  </w:style>
  <w:style w:type="character" w:styleId="CommentReference">
    <w:name w:val="annotation reference"/>
    <w:unhideWhenUsed/>
    <w:rsid w:val="00011669"/>
    <w:rPr>
      <w:sz w:val="16"/>
      <w:szCs w:val="16"/>
    </w:rPr>
  </w:style>
  <w:style w:type="paragraph" w:styleId="BalloonText">
    <w:name w:val="Balloon Text"/>
    <w:basedOn w:val="Normal"/>
    <w:link w:val="BalloonTextChar"/>
    <w:uiPriority w:val="99"/>
    <w:semiHidden/>
    <w:unhideWhenUsed/>
    <w:rsid w:val="00011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69"/>
    <w:rPr>
      <w:rFonts w:ascii="Segoe UI" w:eastAsia="Times New Roman" w:hAnsi="Segoe UI" w:cs="Segoe UI"/>
      <w:sz w:val="18"/>
      <w:szCs w:val="18"/>
    </w:rPr>
  </w:style>
  <w:style w:type="paragraph" w:styleId="NormalWeb">
    <w:name w:val="Normal (Web)"/>
    <w:basedOn w:val="Normal"/>
    <w:uiPriority w:val="99"/>
    <w:unhideWhenUsed/>
    <w:rsid w:val="003629BA"/>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157228">
      <w:bodyDiv w:val="1"/>
      <w:marLeft w:val="0"/>
      <w:marRight w:val="0"/>
      <w:marTop w:val="0"/>
      <w:marBottom w:val="0"/>
      <w:divBdr>
        <w:top w:val="none" w:sz="0" w:space="0" w:color="auto"/>
        <w:left w:val="none" w:sz="0" w:space="0" w:color="auto"/>
        <w:bottom w:val="none" w:sz="0" w:space="0" w:color="auto"/>
        <w:right w:val="none" w:sz="0" w:space="0" w:color="auto"/>
      </w:divBdr>
    </w:div>
    <w:div w:id="816259550">
      <w:bodyDiv w:val="1"/>
      <w:marLeft w:val="0"/>
      <w:marRight w:val="0"/>
      <w:marTop w:val="0"/>
      <w:marBottom w:val="0"/>
      <w:divBdr>
        <w:top w:val="none" w:sz="0" w:space="0" w:color="auto"/>
        <w:left w:val="none" w:sz="0" w:space="0" w:color="auto"/>
        <w:bottom w:val="none" w:sz="0" w:space="0" w:color="auto"/>
        <w:right w:val="none" w:sz="0" w:space="0" w:color="auto"/>
      </w:divBdr>
    </w:div>
    <w:div w:id="816457166">
      <w:bodyDiv w:val="1"/>
      <w:marLeft w:val="0"/>
      <w:marRight w:val="0"/>
      <w:marTop w:val="0"/>
      <w:marBottom w:val="0"/>
      <w:divBdr>
        <w:top w:val="none" w:sz="0" w:space="0" w:color="auto"/>
        <w:left w:val="none" w:sz="0" w:space="0" w:color="auto"/>
        <w:bottom w:val="none" w:sz="0" w:space="0" w:color="auto"/>
        <w:right w:val="none" w:sz="0" w:space="0" w:color="auto"/>
      </w:divBdr>
    </w:div>
    <w:div w:id="940726667">
      <w:bodyDiv w:val="1"/>
      <w:marLeft w:val="0"/>
      <w:marRight w:val="0"/>
      <w:marTop w:val="0"/>
      <w:marBottom w:val="0"/>
      <w:divBdr>
        <w:top w:val="none" w:sz="0" w:space="0" w:color="auto"/>
        <w:left w:val="none" w:sz="0" w:space="0" w:color="auto"/>
        <w:bottom w:val="none" w:sz="0" w:space="0" w:color="auto"/>
        <w:right w:val="none" w:sz="0" w:space="0" w:color="auto"/>
      </w:divBdr>
    </w:div>
    <w:div w:id="951548475">
      <w:bodyDiv w:val="1"/>
      <w:marLeft w:val="0"/>
      <w:marRight w:val="0"/>
      <w:marTop w:val="0"/>
      <w:marBottom w:val="0"/>
      <w:divBdr>
        <w:top w:val="none" w:sz="0" w:space="0" w:color="auto"/>
        <w:left w:val="none" w:sz="0" w:space="0" w:color="auto"/>
        <w:bottom w:val="none" w:sz="0" w:space="0" w:color="auto"/>
        <w:right w:val="none" w:sz="0" w:space="0" w:color="auto"/>
      </w:divBdr>
    </w:div>
    <w:div w:id="1578784782">
      <w:bodyDiv w:val="1"/>
      <w:marLeft w:val="0"/>
      <w:marRight w:val="0"/>
      <w:marTop w:val="0"/>
      <w:marBottom w:val="0"/>
      <w:divBdr>
        <w:top w:val="none" w:sz="0" w:space="0" w:color="auto"/>
        <w:left w:val="none" w:sz="0" w:space="0" w:color="auto"/>
        <w:bottom w:val="none" w:sz="0" w:space="0" w:color="auto"/>
        <w:right w:val="none" w:sz="0" w:space="0" w:color="auto"/>
      </w:divBdr>
    </w:div>
    <w:div w:id="1685404641">
      <w:bodyDiv w:val="1"/>
      <w:marLeft w:val="0"/>
      <w:marRight w:val="0"/>
      <w:marTop w:val="0"/>
      <w:marBottom w:val="0"/>
      <w:divBdr>
        <w:top w:val="none" w:sz="0" w:space="0" w:color="auto"/>
        <w:left w:val="none" w:sz="0" w:space="0" w:color="auto"/>
        <w:bottom w:val="none" w:sz="0" w:space="0" w:color="auto"/>
        <w:right w:val="none" w:sz="0" w:space="0" w:color="auto"/>
      </w:divBdr>
    </w:div>
    <w:div w:id="1733969499">
      <w:bodyDiv w:val="1"/>
      <w:marLeft w:val="0"/>
      <w:marRight w:val="0"/>
      <w:marTop w:val="0"/>
      <w:marBottom w:val="0"/>
      <w:divBdr>
        <w:top w:val="none" w:sz="0" w:space="0" w:color="auto"/>
        <w:left w:val="none" w:sz="0" w:space="0" w:color="auto"/>
        <w:bottom w:val="none" w:sz="0" w:space="0" w:color="auto"/>
        <w:right w:val="none" w:sz="0" w:space="0" w:color="auto"/>
      </w:divBdr>
    </w:div>
    <w:div w:id="1815681763">
      <w:bodyDiv w:val="1"/>
      <w:marLeft w:val="0"/>
      <w:marRight w:val="0"/>
      <w:marTop w:val="0"/>
      <w:marBottom w:val="0"/>
      <w:divBdr>
        <w:top w:val="none" w:sz="0" w:space="0" w:color="auto"/>
        <w:left w:val="none" w:sz="0" w:space="0" w:color="auto"/>
        <w:bottom w:val="none" w:sz="0" w:space="0" w:color="auto"/>
        <w:right w:val="none" w:sz="0" w:space="0" w:color="auto"/>
      </w:divBdr>
    </w:div>
    <w:div w:id="1868835011">
      <w:bodyDiv w:val="1"/>
      <w:marLeft w:val="0"/>
      <w:marRight w:val="0"/>
      <w:marTop w:val="0"/>
      <w:marBottom w:val="0"/>
      <w:divBdr>
        <w:top w:val="none" w:sz="0" w:space="0" w:color="auto"/>
        <w:left w:val="none" w:sz="0" w:space="0" w:color="auto"/>
        <w:bottom w:val="none" w:sz="0" w:space="0" w:color="auto"/>
        <w:right w:val="none" w:sz="0" w:space="0" w:color="auto"/>
      </w:divBdr>
    </w:div>
    <w:div w:id="20894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4D374-101F-4FD7-8BD5-86ED93E530A7}"/>
</file>

<file path=customXml/itemProps2.xml><?xml version="1.0" encoding="utf-8"?>
<ds:datastoreItem xmlns:ds="http://schemas.openxmlformats.org/officeDocument/2006/customXml" ds:itemID="{62C17E82-8C20-481F-914F-6DE697F2D048}"/>
</file>

<file path=customXml/itemProps3.xml><?xml version="1.0" encoding="utf-8"?>
<ds:datastoreItem xmlns:ds="http://schemas.openxmlformats.org/officeDocument/2006/customXml" ds:itemID="{B9E0E5F8-FC73-4CC3-854E-33F3C3DC604E}"/>
</file>

<file path=customXml/itemProps4.xml><?xml version="1.0" encoding="utf-8"?>
<ds:datastoreItem xmlns:ds="http://schemas.openxmlformats.org/officeDocument/2006/customXml" ds:itemID="{0222B85F-89B8-468C-B8BF-BDD3ACC32E6C}"/>
</file>

<file path=docProps/app.xml><?xml version="1.0" encoding="utf-8"?>
<Properties xmlns="http://schemas.openxmlformats.org/officeDocument/2006/extended-properties" xmlns:vt="http://schemas.openxmlformats.org/officeDocument/2006/docPropsVTypes">
  <Template>Normal</Template>
  <TotalTime>186</TotalTime>
  <Pages>8</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2017-07-04T11:38:00Z</dcterms:created>
  <dcterms:modified xsi:type="dcterms:W3CDTF">2017-07-05T04:19:00Z</dcterms:modified>
</cp:coreProperties>
</file>